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0c18cf8b7b95a74cc83537e82a5ad2e8319593"/>
    <w:p>
      <w:pPr>
        <w:pStyle w:val="Heading3"/>
      </w:pPr>
      <w:r>
        <w:t xml:space="preserve">Правовые последствия для иностранных граждан и лиц без гражданства, принимающих участие в несогласованных массовых публичных мероприятиях</w:t>
      </w:r>
    </w:p>
    <w:p>
      <w:pPr>
        <w:pStyle w:val="FirstParagraph"/>
      </w:pPr>
      <w:r>
        <w:t xml:space="preserve">11.07.2022</w:t>
      </w:r>
    </w:p>
    <w:bookmarkEnd w:id="20"/>
    <w:bookmarkStart w:id="23" w:name="Xd96b456f4ab74912088f273cea42ac87387bade"/>
    <w:p>
      <w:pPr>
        <w:pStyle w:val="Heading1"/>
      </w:pPr>
      <w:r>
        <w:t xml:space="preserve">Правовые последствия для иностранных граждан и лиц без гражданства, принимающих участие в несогласованных массовых публичных мероприятиях</w:t>
      </w:r>
    </w:p>
    <w:p>
      <w:pPr>
        <w:pStyle w:val="FirstParagraph"/>
      </w:pPr>
      <w:r>
        <w:t xml:space="preserve">Организация несогласованных массовых публичных мероприятий, а также участие в них влекут серьезные правовые последствия.</w:t>
      </w:r>
    </w:p>
    <w:p>
      <w:pPr>
        <w:pStyle w:val="BodyText"/>
      </w:pPr>
      <w:r>
        <w:t xml:space="preserve">Административная ответственность за такие неправомерные действия предусмотрена статьей 20.2 Кодекса Российской Федерации об административных правонарушениях.</w:t>
      </w:r>
    </w:p>
    <w:p>
      <w:pPr>
        <w:pStyle w:val="BodyText"/>
      </w:pPr>
      <w:r>
        <w:t xml:space="preserve">Данное правонарушение посягает на общественный порядок и общественную безопасность.</w:t>
      </w:r>
    </w:p>
    <w:p>
      <w:pPr>
        <w:pStyle w:val="BodyText"/>
      </w:pPr>
      <w:r>
        <w:t xml:space="preserve">Согласно статье 27 Федерального закона от 15.08.1996 года № 114-ФЗ «О порядке выезда из Российской Федерации и въезда в Российскую Федерацию» въезд в Российскую Федерацию иностранному гражданину или лицу без гражданства может быть запрещен в случае, если это необходимо в целях обеспечения обороноспособности или безопасности государства, либо общественного порядка.</w:t>
      </w:r>
    </w:p>
    <w:p>
      <w:pPr>
        <w:pStyle w:val="BodyText"/>
      </w:pPr>
      <w:r>
        <w:t xml:space="preserve">В соответствии с частью 4 статьи 25.10 Закона в отношении иностранного гражданина в случае, если его пребывание (проживание) создает реальную угрозу общественному порядку, в целях защиты прав и законных интересов других лиц может быть принято решение о нежелательности его пребывания (проживания) в Российской Федерации.</w:t>
      </w:r>
    </w:p>
    <w:p>
      <w:pPr>
        <w:pStyle w:val="BodyText"/>
      </w:pPr>
      <w:r>
        <w:t xml:space="preserve">Иностранный гражданин или лицо без гражданства, в отношении которых принято решение о неразрешении въезда в Российскую Федерацию или решение о нежелательности пребывания (проживания) в Российской Федерации, обязаны в течение трех дней выехать из Российской Федерации.</w:t>
      </w:r>
    </w:p>
    <w:p>
      <w:pPr>
        <w:pStyle w:val="BodyText"/>
      </w:pPr>
      <w:r>
        <w:t xml:space="preserve">Иностранный гражданин или лицо без гражданства, не покинувшие территорию Российской Федерации в установленный срок, подлежат депортации.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http://pechatniki.mos.ru/counter-terrorism/memo-to-citizens/detail/10924423.html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memo-to-citizens/detail/109244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memo-to-citizens/detail/109244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2025-08-04T14:08:24Z</dcterms:created>
  <dcterms:modified xsi:type="dcterms:W3CDTF">2025-08-04T14:08:24Z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