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f0991a5d7032ec5f3c31fd4009eeaac36e4ca0"/>
    <w:p>
      <w:pPr>
        <w:pStyle w:val="Heading3"/>
      </w:pPr>
      <w:r>
        <w:t xml:space="preserve">Административная ответственность за пропаганду либо публичное демонстрирование нацистской атрибутики или символики</w:t>
      </w:r>
    </w:p>
    <w:p>
      <w:pPr>
        <w:pStyle w:val="FirstParagraph"/>
      </w:pPr>
      <w:r>
        <w:t xml:space="preserve">27.10.2023</w:t>
      </w:r>
    </w:p>
    <w:p>
      <w:pPr>
        <w:pStyle w:val="BodyText"/>
      </w:pPr>
      <w:r>
        <w:drawing>
          <wp:inline>
            <wp:extent cx="5334000" cy="79274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upload/medialibrary/df7/82crfiobdf4pvgbsen61581lnm886un4/5Demonstracia_nacistskoi_simvoli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274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http://pechatniki.mos.ru/counter-terrorism/memo-to-citizens/detail/11939187.html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counter-terrorism/memo-to-citizens/detail/11939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counter-terrorism/memo-to-citizens/detail/11939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2025-04-12T21:50:21Z</dcterms:created>
  <dcterms:modified xsi:type="dcterms:W3CDTF">2025-04-12T21:50:21Z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