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6ebaa947a66f354dcd3aa140e1022ecf4279f"/>
    <w:p>
      <w:pPr>
        <w:pStyle w:val="Heading3"/>
      </w:pPr>
      <w:r>
        <w:t xml:space="preserve">Заседание постоянно действующей рабочей группы района Печатники города Москвы от 25.04.2024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25.04.2024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http://pechatniki.mos.ru/counter-terrorism/the-anti-terrorist-operation-area-printer-of-the-city-of-moscow/the-meeting-of-the-permanent-working-group-of-the-district-council-printed-on-the-prevention-of-terr/detail/12441773.html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c0/73z80th2ajtets90rub8pd5fj3qk66lf/Zasedanie-postoyanno-deystvuyushchey-rabochey-gruppy-rayona-Pechatniki-goroda-Moskvy-ot-25.04.202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c0/73z80th2ajtets90rub8pd5fj3qk66lf/Zasedanie-postoyanno-deystvuyushchey-rabochey-gruppy-rayona-Pechatniki-goroda-Moskvy-ot-25.04.202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2025-03-22T22:12:59Z</dcterms:created>
  <dcterms:modified xsi:type="dcterms:W3CDTF">2025-03-22T22:12:59Z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