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9a6ec49f76b34c9b4208071798b7ba64aff36"/>
    <w:p>
      <w:pPr>
        <w:pStyle w:val="Heading3"/>
      </w:pPr>
      <w:r>
        <w:t xml:space="preserve">Директор ФСБ России провёл в Москве заседание Федерального оперативного штаба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9 июля 2024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члены ФОШ, полномочный представитель Президента Российской Федерации в СКФО и руководители оперативных штабов в субъектах Российской Федерации, расположенных в пределах округа.</w:t>
      </w:r>
      <w:r>
        <w:br/>
      </w:r>
      <w:r>
        <w:br/>
      </w:r>
      <w:r>
        <w:t xml:space="preserve">На заседании выработаны меры по повышению эффективности взаимодействия федеральных органов исполнительной власти и их территориальных органов по борьбе с терроризмом на Северном Кавказе.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http://pechatniki.mos.ru/counter-terrorism/the-national-anti-terrorist-committee-of-the-russian-federation-informs/meropriyatiya/detail/12471968.html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the-national-anti-terrorist-committee-of-the-russian-federation-informs/meropriyatiya/detail/12471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the-national-anti-terrorist-committee-of-the-russian-federation-informs/meropriyatiya/detail/12471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2025-02-17T09:34:59Z</dcterms:created>
  <dcterms:modified xsi:type="dcterms:W3CDTF">2025-02-17T09:34:59Z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