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378d11d571dedda5518d27249dfa3956f835a"/>
    <w:p>
      <w:pPr>
        <w:pStyle w:val="Heading3"/>
      </w:pPr>
      <w:r>
        <w:t xml:space="preserve">Почти 3 тысячи обращений граждан рассмотрено Кадастровой палатой по Москве в 1 квартале 2022 года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t xml:space="preserve">Почти 3 тысячи обращений граждан рассмотрено Кадастровой палатой по Москве в 1 квартале 2022 года</w:t>
      </w:r>
    </w:p>
    <w:p>
      <w:pPr>
        <w:pStyle w:val="BodyText"/>
      </w:pPr>
      <w:r>
        <w:rPr>
          <w:iCs/>
          <w:i/>
        </w:rPr>
        <w:t xml:space="preserve">Учреждение рассказало о результатах работы с заявителями</w:t>
      </w:r>
    </w:p>
    <w:p>
      <w:pPr>
        <w:pStyle w:val="BodyText"/>
      </w:pPr>
      <w:r>
        <w:t xml:space="preserve">Ежедневно в Кадастровую палату по Москве поступают не менее 20 обращений от граждан. Только за 1 квартал 2022 года учреждением рассмотрено около 3 тысяч писем, при этом чаще всего заявители обращались посредством электронных сервисов Федеральной кадастровой палаты - сайта и электронной почты. Дистанционным форматом направления обращений в Кадастровую палату по Москве воспользовался каждый второй гражданин.</w:t>
      </w:r>
    </w:p>
    <w:p>
      <w:pPr>
        <w:pStyle w:val="BodyText"/>
      </w:pPr>
      <w:r>
        <w:t xml:space="preserve">В 2022 году наибольшее количество потребителей, а именно 79%, интересовали вопросы предоставления сведений из Единого государственного реестра недвижимости (ЕГРН). Более 7% заявителей проявили интерес к теме верификации сведений ЕГРН и около 4% обращений граждан связаны со внесением сведений о кадастровой стоимости.</w:t>
      </w:r>
    </w:p>
    <w:p>
      <w:pPr>
        <w:pStyle w:val="BodyText"/>
      </w:pPr>
      <w:r>
        <w:rPr>
          <w:iCs/>
          <w:i/>
        </w:rPr>
        <w:t xml:space="preserve">«Одним из приоритетных направлений деятельности Кадастровой палаты по Москве является повышение клиентоориентированности учреждения, способствующее улучшению качества и доступности оказания государственных услуг. Наши эксперты обеспечивают объективное, всестороннее и своевременное рассмотрение обращений граждан по каждому запросу»,</w:t>
      </w:r>
      <w:r>
        <w:t xml:space="preserve"> </w:t>
      </w:r>
      <w:r>
        <w:t xml:space="preserve">– отметил 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подать обращение в учреждение можно в письменном виде или посредством личного визита в офис по адресу: г. Москва, шоссе Энтузиастов, д. 14, </w:t>
      </w:r>
      <w:r>
        <w:t xml:space="preserve">а также дистанционно, воспользовавшись электронным сервисом Федеральной кадастровой палаты «Обращения онлайн» или направив письмо по электронной почте на адрес:</w:t>
      </w:r>
      <w:r>
        <w:t xml:space="preserve"> </w:t>
      </w:r>
      <w:hyperlink r:id="rId20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Отметим, что все поступившие письма рассматриваются в строгом соответствии с Федеральным законом от 2 мая 2006 года № 59-ФЗ «О порядке рассмотрения обращений граждан Российской Федерации» и в установленное сроки.</w:t>
      </w:r>
    </w:p>
    <w:p>
      <w:pPr>
        <w:pStyle w:val="BodyText"/>
      </w:pPr>
      <w:r>
        <w:rPr>
          <w:iCs/>
          <w:i/>
        </w:rPr>
        <w:t xml:space="preserve">«Для удобства граждан задать интересующий вопрос можно также в официальных аккаунтах учреждения в социальных сетях, где ежедневно публикуются последние новости в сфере недвижимости и много другой полезной информации»,</w:t>
      </w:r>
      <w:r>
        <w:t xml:space="preserve"> </w:t>
      </w:r>
      <w:r>
        <w:t xml:space="preserve">- добавил Виктор Горелышев.</w:t>
      </w:r>
    </w:p>
    <w:p>
      <w:pPr>
        <w:pStyle w:val="BodyText"/>
      </w:pPr>
      <w:r>
        <w:t xml:space="preserve">Кроме того, получить консультацию по вопросам деятельности Кадастровой палаты по Москве можно по единому справочному номеру: 8-800-100-34-34.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http://pechatniki.mos.ru/directions-of-activity/municipal-economy/fgbu-fkp-rosreestr/detail/10782594.html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782594.html" TargetMode="External" /><Relationship Type="http://schemas.openxmlformats.org/officeDocument/2006/relationships/hyperlink" Id="rId20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782594.html" TargetMode="External" /><Relationship Type="http://schemas.openxmlformats.org/officeDocument/2006/relationships/hyperlink" Id="rId20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2023-10-10T09:35:34Z</dcterms:created>
  <dcterms:modified xsi:type="dcterms:W3CDTF">2023-10-10T09:35:34Z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