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</w:t>
      </w:r>
    </w:p>
    <w:p>
      <w:pPr>
        <w:pStyle w:val="BodyText"/>
      </w:pPr>
      <w:r>
        <w:t xml:space="preserve">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</w:t>
      </w:r>
    </w:p>
    <w:p>
      <w:pPr>
        <w:pStyle w:val="BodyText"/>
      </w:pPr>
      <w:r>
        <w:t xml:space="preserve">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нотариус моей страны обратиться напрямую в филиал ППК «Роскадастр», как и нотариус Российской Федерации?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</w:t>
      </w:r>
    </w:p>
    <w:p>
      <w:pPr>
        <w:pStyle w:val="BodyText"/>
      </w:pPr>
      <w:r>
        <w:t xml:space="preserve">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</w:t>
      </w:r>
      <w:r>
        <w:t xml:space="preserve"> </w:t>
      </w:r>
      <w:r>
        <w:rPr>
          <w:bCs/>
          <w:b/>
        </w:rPr>
        <w:t xml:space="preserve">Алексей Некрасов, заместитель директора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http://pechatniki.mos.ru/directions-of-activity/municipal-economy/fgbu-fkp-rosreestr/detail/11834529.html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3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3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2025-02-10T23:28:27Z</dcterms:created>
  <dcterms:modified xsi:type="dcterms:W3CDTF">2025-02-10T23:28:27Z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