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727fdae9f0b52983bbbe5492f67f1b2599a07"/>
    <w:p>
      <w:pPr>
        <w:pStyle w:val="Heading3"/>
      </w:pPr>
      <w:r>
        <w:t xml:space="preserve">Выписка из ЕГРН о зарегистрированных договорах участия в долевом строительстве: кому и зачем нужна?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rPr>
          <w:u w:val="single"/>
          <w:bCs/>
          <w:b/>
        </w:rPr>
        <w:t xml:space="preserve">За 11 месяцев 2024 года</w:t>
      </w:r>
      <w:r>
        <w:rPr>
          <w:bCs/>
          <w:b/>
        </w:rPr>
        <w:t xml:space="preserve"> </w:t>
      </w:r>
      <w:r>
        <w:rPr>
          <w:bCs/>
          <w:b/>
        </w:rPr>
        <w:t xml:space="preserve">столичным Роскадастром из Единого государственного реестра недвижимости (ЕГРН) выдано заявителям более 36 тысяч выписок о зарегистрированных договорах участия в долевом строительстве (ДДУ). По сравнению с аналогичными показателями прошлого года количество выданных документов из ЕГРН выросло на 92%.</w:t>
      </w:r>
    </w:p>
    <w:p>
      <w:pPr>
        <w:pStyle w:val="BodyText"/>
      </w:pPr>
      <w:r>
        <w:t xml:space="preserve">Выписка из ЕГРН о ДДУ представляет собой сведения о земельном участке,</w:t>
      </w:r>
      <w:r>
        <w:br/>
      </w:r>
      <w:r>
        <w:t xml:space="preserve">на котором ведется строительство многоквартирного дома. Застройщик в ней указывается как правообладатель земельного участка, а зарегистрированные ДДУ перечисляются в качестве обременений на сам участок.</w:t>
      </w:r>
    </w:p>
    <w:p>
      <w:pPr>
        <w:pStyle w:val="BodyText"/>
      </w:pPr>
      <w:r>
        <w:t xml:space="preserve">Выписка о зарегистрированных ДДУ поможет:</w:t>
      </w:r>
    </w:p>
    <w:p>
      <w:pPr>
        <w:pStyle w:val="BodyText"/>
      </w:pPr>
      <w:r>
        <w:t xml:space="preserve">· убедиться, что договор долевого участия в строительстве прошёл государственную регистрацию;</w:t>
      </w:r>
    </w:p>
    <w:p>
      <w:pPr>
        <w:pStyle w:val="BodyText"/>
      </w:pPr>
      <w:r>
        <w:t xml:space="preserve">· подтвердить право требования на недвижимость в строящемся доме;</w:t>
      </w:r>
    </w:p>
    <w:p>
      <w:pPr>
        <w:pStyle w:val="BodyText"/>
      </w:pPr>
      <w:r>
        <w:t xml:space="preserve">· узнать, сколько сделок совершено в отношении строящегося объекта;</w:t>
      </w:r>
    </w:p>
    <w:p>
      <w:pPr>
        <w:pStyle w:val="BodyText"/>
      </w:pPr>
      <w:r>
        <w:t xml:space="preserve">· проверить сведения об объекте и земельном участке при приобретении недвижимости по договору об уступке прав требования (цессии).</w:t>
      </w:r>
    </w:p>
    <w:p>
      <w:pPr>
        <w:pStyle w:val="BodyText"/>
      </w:pPr>
      <w:r>
        <w:rPr>
          <w:iCs/>
          <w:i/>
        </w:rPr>
        <w:t xml:space="preserve">«Такая выписка необходима тем, кто приобретает квартиру или нежилое помещение в строящемся доме по уступке права требования»,</w:t>
      </w:r>
      <w:r>
        <w:t xml:space="preserve"> </w:t>
      </w:r>
      <w:r>
        <w:t xml:space="preserve">– пояснила</w:t>
      </w:r>
      <w:r>
        <w:t xml:space="preserve"> </w:t>
      </w:r>
      <w:r>
        <w:rPr>
          <w:bCs/>
          <w:b/>
        </w:rPr>
        <w:t xml:space="preserve">Елена Спиридонова, директор филиала ППК «Роскадастр» по Москве.</w:t>
      </w:r>
    </w:p>
    <w:p>
      <w:pPr>
        <w:pStyle w:val="BodyText"/>
      </w:pPr>
      <w:r>
        <w:t xml:space="preserve">В результате сделки по уступке права требования действие первого договора долевого участия не прекращается, в нем лишь меняется покупатель, вместо первоначального собственника им становится новое лицо. Права и обязанности первоначального собственника переходят к покупателю, при этом все условия первого договора, такие как сроки выполнения работ, цена квартиры</w:t>
      </w:r>
      <w:r>
        <w:br/>
      </w:r>
      <w:r>
        <w:t xml:space="preserve">и гарантийный срок, остаются прежними.</w:t>
      </w:r>
    </w:p>
    <w:p>
      <w:pPr>
        <w:pStyle w:val="BodyText"/>
      </w:pPr>
      <w:r>
        <w:rPr>
          <w:iCs/>
          <w:i/>
        </w:rPr>
        <w:t xml:space="preserve">«Так же как и договор долевого участия, договор об уступке прав подлежит государственной регистрации. Сама же уступка возможна только после государственной регистрации договора долевого участия и до момента подписания акта приема-передачи на этот объект недвижимости», 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Сведения из реестра недвижимости о зарегистрированных ДДУ</w:t>
      </w:r>
      <w:r>
        <w:t xml:space="preserve"> </w:t>
      </w:r>
      <w:r>
        <w:rPr>
          <w:iCs/>
          <w:i/>
          <w:bCs/>
          <w:b/>
        </w:rPr>
        <w:t xml:space="preserve">являются общедоступными</w:t>
      </w:r>
      <w:r>
        <w:t xml:space="preserve">. За выпиской может обратиться любое заинтересованное лицо.</w:t>
      </w:r>
    </w:p>
    <w:p>
      <w:pPr>
        <w:pStyle w:val="BodyText"/>
      </w:pPr>
      <w:r>
        <w:t xml:space="preserve">Получить данную выписку можно следующими способами:</w:t>
      </w:r>
    </w:p>
    <w:p>
      <w:pPr>
        <w:pStyle w:val="BodyText"/>
      </w:pPr>
      <w:r>
        <w:t xml:space="preserve">· В электронном виде, воспользовавшись сервисами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 </w:t>
      </w:r>
      <w:r>
        <w:t xml:space="preserve">или на</w:t>
      </w:r>
      <w:r>
        <w:t xml:space="preserve"> </w:t>
      </w:r>
      <w:hyperlink r:id="rId22">
        <w:r>
          <w:rPr>
            <w:rStyle w:val="Hyperlink"/>
          </w:rPr>
          <w:t xml:space="preserve">портале Госуслуг</w:t>
        </w:r>
      </w:hyperlink>
      <w:r>
        <w:t xml:space="preserve">;</w:t>
      </w:r>
    </w:p>
    <w:p>
      <w:pPr>
        <w:pStyle w:val="BodyText"/>
      </w:pPr>
      <w:r>
        <w:t xml:space="preserve">· При личном обращении, обратившись в ближайший центр госуслуг</w:t>
      </w:r>
      <w:r>
        <w:br/>
      </w:r>
      <w:r>
        <w:t xml:space="preserve">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http://pechatniki.mos.ru/directions-of-activity/municipal-economy/fgbu-fkp-rosreestr/detail/12721433.html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721433.html" TargetMode="External" /><Relationship Type="http://schemas.openxmlformats.org/officeDocument/2006/relationships/hyperlink" Id="rId21" Target="https://kadastr.ru/services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2" Target="https://www.gosuslugi.ru/help/faq/egrn/1802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721433.html" TargetMode="External" /><Relationship Type="http://schemas.openxmlformats.org/officeDocument/2006/relationships/hyperlink" Id="rId21" Target="https://kadastr.ru/services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2" Target="https://www.gosuslugi.ru/help/faq/egrn/1802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2025-04-05T07:11:24Z</dcterms:created>
  <dcterms:modified xsi:type="dcterms:W3CDTF">2025-04-05T07:11:24Z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