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b6006f04cbc51e54346ac6ca956ce8ad0ee91"/>
    <w:p>
      <w:pPr>
        <w:pStyle w:val="Heading3"/>
      </w:pPr>
      <w:r>
        <w:t xml:space="preserve">График проведения вебинаров с налогоплательщиками на октябрь 2021 ИФНС России №7722 по г. Москве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График проведения вебинаров с налогоплательщиками на октябрь 2021 ИФНС России №7722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http://pechatniki.mos.ru/information-on-taxes-and-nalogooblozhenie/info-fn/detail/10339587.html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39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39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2024-10-13T02:26:46Z</dcterms:created>
  <dcterms:modified xsi:type="dcterms:W3CDTF">2024-10-13T02:26:46Z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