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ce314e46c11ce37780ec3580ba0781ad936c9"/>
    <w:p>
      <w:pPr>
        <w:pStyle w:val="Heading3"/>
      </w:pPr>
      <w:r>
        <w:t xml:space="preserve">Как воспользоваться льготой, не учтенной в налоговом уведомлении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Как воспользоваться льготой, не учтенной в налоговом уведомлении</w:t>
      </w:r>
      <w:r>
        <w:br/>
      </w:r>
      <w:r>
        <w:br/>
      </w:r>
      <w:r>
        <w:br/>
      </w:r>
      <w:r>
        <w:br/>
      </w:r>
      <w:r>
        <w:t xml:space="preserve">Шаг 1.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  <w:r>
        <w:br/>
      </w:r>
      <w:r>
        <w:br/>
      </w:r>
      <w:r>
        <w:t xml:space="preserve">Шаг 2.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  <w:r>
        <w:br/>
      </w:r>
      <w:r>
        <w:br/>
      </w:r>
      <w:r>
        <w:t xml:space="preserve"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https://www.nalog.gov.ru/rn77/service/tax/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  <w:r>
        <w:br/>
      </w:r>
      <w:r>
        <w:br/>
      </w:r>
      <w:r>
        <w:t xml:space="preserve">Шаг 3. Убедившись, что налогоплательщик относится к категориям лиц, имеющим право на налоговую льготу, но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  <w:r>
        <w:br/>
      </w:r>
      <w:r>
        <w:br/>
      </w: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  <w:r>
        <w:br/>
      </w:r>
      <w:r>
        <w:br/>
      </w: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http://pechatniki.mos.ru/information-on-taxes-and-nalogooblozhenie/info-fn/detail/10375536.html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75536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0375536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2024-11-17T02:46:56Z</dcterms:created>
  <dcterms:modified xsi:type="dcterms:W3CDTF">2024-11-17T02:46:56Z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