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f903e231dc0fd4b5a9e9254e2801a2c0a1a1b"/>
    <w:p>
      <w:pPr>
        <w:pStyle w:val="Heading3"/>
      </w:pPr>
      <w:r>
        <w:t xml:space="preserve">Актуальные вопросы урегулирования задолженности в 2021 году обсудят на вебинаре 15 декабря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rPr>
          <w:bCs/>
          <w:b/>
        </w:rPr>
        <w:t xml:space="preserve">15 декабря 2021 года в 15.00</w:t>
      </w:r>
      <w:r>
        <w:t xml:space="preserve"> </w:t>
      </w:r>
      <w:r>
        <w:t xml:space="preserve">состоится вебинар "Актуальные вопросы урегулирования задолженности в 2021 году"</w:t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Гусев Станислав Вадимович</w:t>
      </w:r>
      <w:r>
        <w:t xml:space="preserve">, заместитель руководителя УФНС России по г. Москве;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Биткина Ирина Александровна</w:t>
      </w:r>
      <w:r>
        <w:t xml:space="preserve">, заместитель начальника отдела урегулирования задолженности УФНС России по г. Москве.</w:t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t xml:space="preserve">1. Сроки уплаты имущественных налогов физических лиц;</w:t>
      </w:r>
    </w:p>
    <w:p>
      <w:pPr>
        <w:pStyle w:val="BodyText"/>
      </w:pPr>
      <w:r>
        <w:t xml:space="preserve">2. Актуальные вопросы по урегулированию задолженности налогоплательщиков физических лиц.</w:t>
      </w:r>
    </w:p>
    <w:p>
      <w:pPr>
        <w:pStyle w:val="BodyText"/>
      </w:pPr>
      <w:r>
        <w:rPr>
          <w:bCs/>
          <w:b/>
        </w:rPr>
        <w:t xml:space="preserve">До 13 декабря можно направить возникающие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 </w:t>
      </w:r>
      <w:hyperlink r:id="rId20">
        <w:r>
          <w:rPr>
            <w:rStyle w:val="Hyperlink"/>
            <w:bCs/>
            <w:b/>
          </w:rPr>
          <w:t xml:space="preserve">http://b10031.vr.mirapolis.ru/mira/s/JpLeen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http://pechatniki.mos.ru/information-on-taxes-and-nalogooblozhenie/info-fn/detail/10447858.html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JpLeen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447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JpLeen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447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2023-10-10T10:18:28Z</dcterms:created>
  <dcterms:modified xsi:type="dcterms:W3CDTF">2023-10-10T10:18:28Z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