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78b57d4f0f6b16d5c3e51d176e8d25985bf43"/>
    <w:p>
      <w:pPr>
        <w:pStyle w:val="Heading3"/>
      </w:pPr>
      <w:r>
        <w:t xml:space="preserve">Налоговые инспекции города Москвы в 2022 году регулярно проводят вебинары для налогоплательщиков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drawing>
          <wp:inline>
            <wp:extent cx="5334000" cy="7700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Налоговая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http://pechatniki.mos.ru/information-on-taxes-and-nalogooblozhenie/info-fn/detail/10581785.html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581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581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2023-10-10T10:18:18Z</dcterms:created>
  <dcterms:modified xsi:type="dcterms:W3CDTF">2023-10-10T10:18:18Z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