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ad4b9623c5f68b344d8ae4c864b36f5e8565048"/>
    <w:p>
      <w:pPr>
        <w:pStyle w:val="Heading3"/>
      </w:pPr>
      <w:r>
        <w:t xml:space="preserve">График проведения вебинаров с налогоплательщиками на февраль 2022 год</w:t>
      </w:r>
    </w:p>
    <w:p>
      <w:pPr>
        <w:pStyle w:val="FirstParagraph"/>
      </w:pPr>
      <w:r>
        <w:t xml:space="preserve">01.02.2022</w:t>
      </w:r>
    </w:p>
    <w:bookmarkEnd w:id="20"/>
    <w:bookmarkStart w:id="23" w:name="section"/>
    <w:p>
      <w:pPr>
        <w:pStyle w:val="Heading1"/>
      </w:pPr>
      <w:r>
        <w:br/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Дата и время проведения вебинара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Тема мероприятия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QR- код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для проведения вебинара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Ф.И.О. и контактные телефоны для справок</w:t>
            </w:r>
          </w:p>
        </w:tc>
      </w:tr>
      <w:tr>
        <w:tc>
          <w:tcPr/>
          <w:p>
            <w:pPr>
              <w:jc w:val="left"/>
            </w:pPr>
            <w:r>
              <w:t xml:space="preserve">07.02.2022</w:t>
            </w:r>
          </w:p>
          <w:p>
            <w:pPr>
              <w:jc w:val="left"/>
            </w:pPr>
            <w:r>
              <w:t xml:space="preserve">в 11:00</w:t>
            </w:r>
          </w:p>
        </w:tc>
        <w:tc>
          <w:tcPr/>
          <w:p>
            <w:pPr>
              <w:jc w:val="left"/>
            </w:pPr>
            <w:r>
              <w:t xml:space="preserve">Правила оформления платежных документов в соответствие с Приказом Минфина России от 12.11.2013 №107н.Ошибки при заполнении платежных документов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Максимова Юлия Михайловна (495) 400-20-70</w:t>
            </w:r>
          </w:p>
        </w:tc>
      </w:tr>
      <w:tr>
        <w:tc>
          <w:tcPr/>
          <w:p>
            <w:pPr>
              <w:jc w:val="left"/>
            </w:pPr>
            <w:r>
              <w:t xml:space="preserve">10.02.2022</w:t>
            </w:r>
          </w:p>
          <w:p>
            <w:pPr>
              <w:jc w:val="left"/>
            </w:pPr>
            <w:r>
              <w:t xml:space="preserve">в 14:00</w:t>
            </w:r>
          </w:p>
        </w:tc>
        <w:tc>
          <w:tcPr/>
          <w:p>
            <w:pPr>
              <w:jc w:val="left"/>
            </w:pPr>
            <w:r>
              <w:t xml:space="preserve">Особенности налогообложения ИП (упрощенная система налогообложения и патентная система налогообложения)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Шевелева Инна Викторовна (495) 400-20-49</w:t>
            </w:r>
          </w:p>
        </w:tc>
      </w:tr>
      <w:tr>
        <w:tc>
          <w:tcPr/>
          <w:p>
            <w:pPr>
              <w:jc w:val="left"/>
            </w:pPr>
            <w:r>
              <w:t xml:space="preserve">28.02.2022</w:t>
            </w:r>
          </w:p>
          <w:p>
            <w:pPr>
              <w:jc w:val="left"/>
            </w:pPr>
            <w:r>
              <w:t xml:space="preserve">в 12:00</w:t>
            </w:r>
          </w:p>
        </w:tc>
        <w:tc>
          <w:tcPr/>
          <w:p>
            <w:pPr>
              <w:jc w:val="left"/>
            </w:pPr>
            <w:r>
              <w:t xml:space="preserve">Налог на доходы физических лиц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Шевелева Инна Викторовна (495) 400-20-49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http://pechatniki.mos.ru/information-on-taxes-and-nalogooblozhenie/info-fn/detail/10589449.html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pechatniki.mos.ru" TargetMode="External" /><Relationship Type="http://schemas.openxmlformats.org/officeDocument/2006/relationships/hyperlink" Id="rId21" Target="http://pechatniki.mos.ru/information-on-taxes-and-nalogooblozhenie/info-fn/detail/1058944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pechatniki.mos.ru" TargetMode="External" /><Relationship Type="http://schemas.openxmlformats.org/officeDocument/2006/relationships/hyperlink" Id="rId21" Target="http://pechatniki.mos.ru/information-on-taxes-and-nalogooblozhenie/info-fn/detail/1058944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2024-12-07T22:14:42Z</dcterms:created>
  <dcterms:modified xsi:type="dcterms:W3CDTF">2024-12-07T22:14:42Z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