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t xml:space="preserve">Заполнение платежных документов при уплате госпошлин требует особого внимания. В платежном документе необходимо указать свои реквизиты и реквизиты госоргана, который администрирует пошлину, а также КБК и другие данные о платеже.</w:t>
      </w:r>
    </w:p>
    <w:p>
      <w:pPr>
        <w:pStyle w:val="BodyText"/>
      </w:pPr>
      <w:r>
        <w:t xml:space="preserve">Значительно упростить процесс заполнения платежного документа позволяет электронный сервис на официальном сайте ФНС России «Уплата госпошлины» в составе группы сервисов «Уплата налогов и пошлин». Сервис максимально автоматизирован и оснащён подсказками. С его помощью можно сформировать платежный документ на уплату всех видов пошлин, администрируемых налоговыми органами, распечатать его или перейти к уплате.</w:t>
      </w:r>
    </w:p>
    <w:p>
      <w:pPr>
        <w:pStyle w:val="BodyText"/>
      </w:pPr>
      <w:r>
        <w:t xml:space="preserve">Он ориентирован на конкретную категорию плательщика и расположен в каждом из соответствующих разделов: </w:t>
      </w:r>
    </w:p>
    <w:p>
      <w:pPr>
        <w:numPr>
          <w:ilvl w:val="0"/>
          <w:numId w:val="1001"/>
        </w:numPr>
        <w:pStyle w:val="Compact"/>
      </w:pPr>
      <w:r>
        <w:t xml:space="preserve">«Физическим лицам»</w:t>
      </w:r>
    </w:p>
    <w:p>
      <w:pPr>
        <w:numPr>
          <w:ilvl w:val="0"/>
          <w:numId w:val="1001"/>
        </w:numPr>
        <w:pStyle w:val="Compact"/>
      </w:pPr>
      <w:r>
        <w:t xml:space="preserve">«Индивидуальным предпринимателям»</w:t>
      </w:r>
    </w:p>
    <w:p>
      <w:pPr>
        <w:numPr>
          <w:ilvl w:val="0"/>
          <w:numId w:val="1001"/>
        </w:numPr>
        <w:pStyle w:val="Compact"/>
      </w:pPr>
      <w:r>
        <w:t xml:space="preserve">«Юридическим лицам»</w:t>
      </w:r>
    </w:p>
    <w:p>
      <w:pPr>
        <w:pStyle w:val="FirstParagraph"/>
      </w:pPr>
      <w:r>
        <w:t xml:space="preserve">В зависимости от выбранного раздела автоматически определяются статус плательщика и виды пошлин, подлежащих уплате.</w:t>
      </w:r>
    </w:p>
    <w:p>
      <w:pPr>
        <w:pStyle w:val="BodyText"/>
      </w:pPr>
      <w:r>
        <w:t xml:space="preserve">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12.11.2013 №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http://pechatniki.mos.ru/information-on-taxes-and-nalogooblozhenie/info-fn/detail/10712881.html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712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712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2023-10-10T10:17:49Z</dcterms:created>
  <dcterms:modified xsi:type="dcterms:W3CDTF">2023-10-10T10:17:49Z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