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b4c1484edc2c21e6ef8e4aeddebc9045043d8"/>
    <w:p>
      <w:pPr>
        <w:pStyle w:val="Heading3"/>
      </w:pPr>
      <w:r>
        <w:t xml:space="preserve">График проведения вебинаров с налогоплательщиками на август 2022г. ИФНС России №7722 по г. Москве</w:t>
      </w:r>
    </w:p>
    <w:p>
      <w:pPr>
        <w:pStyle w:val="FirstParagraph"/>
      </w:pPr>
      <w:r>
        <w:t xml:space="preserve">12.07.2022</w:t>
      </w:r>
    </w:p>
    <w:p>
      <w:pPr>
        <w:pStyle w:val="BodyText"/>
      </w:pPr>
      <w:r>
        <w:t xml:space="preserve">График проведения вебинаров с налогоплательщиками на август 2022г. ИФНС России №7722 по г. Москве</w:t>
      </w:r>
    </w:p>
    <w:p>
      <w:pPr>
        <w:pStyle w:val="BodyText"/>
      </w:pPr>
      <w:r>
        <w:drawing>
          <wp:inline>
            <wp:extent cx="5334000" cy="755369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Слайд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3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http://pechatniki.mos.ru/information-on-taxes-and-nalogooblozhenie/info-fn/detail/10927670.html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0927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0927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2023-10-10T10:17:17Z</dcterms:created>
  <dcterms:modified xsi:type="dcterms:W3CDTF">2023-10-10T10:17:17Z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