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17.08.2022</w:t>
      </w:r>
    </w:p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</w:t>
      </w:r>
    </w:p>
    <w:p>
      <w:pPr>
        <w:pStyle w:val="BodyText"/>
      </w:pPr>
      <w:r>
        <w:t xml:space="preserve">Услуга по выдаче КСКПЭП предоставляется ФНС России бесплатно и независимо от места регистрации заявителя в Удостоверяющем Центре ФНС России или в точках выдачи Доверенных лиц УЦ ФНС России. Перечень подразделений ФНС России и информация о доверенных лицах размещены на сайте ФНС России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www.nalog.gov.ru</w:t>
        </w:r>
      </w:hyperlink>
      <w:r>
        <w:t xml:space="preserve">.</w:t>
      </w:r>
    </w:p>
    <w:p>
      <w:pPr>
        <w:pStyle w:val="BodyText"/>
      </w:pPr>
      <w:r>
        <w:t xml:space="preserve">Местом выдачи УЦ ФНС России для юридических лиц и индивидуальных предпринимателей на территории города Москвы является Межрайонная ИФНС России № 46 по г. Москве, расположенная по адресу: Походный проезд, вл.3, стр.2.</w:t>
      </w:r>
    </w:p>
    <w:p>
      <w:pPr>
        <w:pStyle w:val="BodyText"/>
      </w:pPr>
      <w:r>
        <w:t xml:space="preserve">Нотариусы в целях прохождения процедуры идентификации обращаются в Фонд «Центр инноваций и информационных технологий» при Федеральной нотариальной палате.</w:t>
      </w:r>
    </w:p>
    <w:p>
      <w:pPr>
        <w:pStyle w:val="BodyText"/>
      </w:pPr>
      <w:r>
        <w:t xml:space="preserve">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</w:t>
      </w:r>
    </w:p>
    <w:p>
      <w:pPr>
        <w:pStyle w:val="BodyText"/>
      </w:pPr>
      <w:r>
        <w:t xml:space="preserve">При обращении в аккредитованный удостоверяющий центр заявитель представляет следующие документы либо их надлежащим образом заверенные копии и (или) сведения из них:</w:t>
      </w:r>
    </w:p>
    <w:p>
      <w:pPr>
        <w:pStyle w:val="BodyText"/>
      </w:pPr>
      <w:bookmarkStart w:id="21" w:name="bookmark0"/>
      <w:bookmarkEnd w:id="21"/>
      <w:r>
        <w:t xml:space="preserve"> </w:t>
      </w:r>
      <w:r>
        <w:t xml:space="preserve">1) основной документ, удостоверяющий личность;</w:t>
      </w:r>
    </w:p>
    <w:p>
      <w:pPr>
        <w:pStyle w:val="BodyText"/>
      </w:pPr>
      <w:bookmarkStart w:id="22" w:name="bookmark1"/>
      <w:bookmarkEnd w:id="22"/>
      <w:r>
        <w:t xml:space="preserve"> </w:t>
      </w:r>
      <w:r>
        <w:t xml:space="preserve">2) страховой номер индивидуального лицевого счета заявителя - физического лица;</w:t>
      </w:r>
    </w:p>
    <w:p>
      <w:pPr>
        <w:pStyle w:val="BodyText"/>
      </w:pPr>
      <w:bookmarkStart w:id="23" w:name="bookmark2"/>
      <w:bookmarkEnd w:id="23"/>
      <w:r>
        <w:t xml:space="preserve"> </w:t>
      </w:r>
      <w:r>
        <w:t xml:space="preserve">3) идентификационный номер налогоплательщика заявителя - физического лица;</w:t>
      </w:r>
    </w:p>
    <w:p>
      <w:pPr>
        <w:pStyle w:val="BodyText"/>
      </w:pPr>
      <w:bookmarkStart w:id="24" w:name="bookmark3"/>
      <w:bookmarkEnd w:id="24"/>
      <w:r>
        <w:t xml:space="preserve"> </w:t>
      </w:r>
      <w:r>
        <w:t xml:space="preserve">4) основной государственный регистрационный номер заявителя - юридического лица;</w:t>
      </w:r>
      <w:r>
        <w:br/>
      </w:r>
    </w:p>
    <w:p>
      <w:pPr>
        <w:pStyle w:val="BodyText"/>
      </w:pPr>
      <w:bookmarkStart w:id="25" w:name="bookmark4"/>
      <w:bookmarkEnd w:id="25"/>
      <w:r>
        <w:t xml:space="preserve"> </w:t>
      </w:r>
      <w:r>
        <w:t xml:space="preserve">5)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- индивидуального предпринимателя;</w:t>
      </w:r>
    </w:p>
    <w:p>
      <w:pPr>
        <w:pStyle w:val="BodyText"/>
      </w:pPr>
      <w:bookmarkStart w:id="26" w:name="bookmark5"/>
      <w:bookmarkEnd w:id="26"/>
      <w:r>
        <w:t xml:space="preserve"> </w:t>
      </w:r>
      <w:r>
        <w:t xml:space="preserve">6) документ,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самоуправления;</w:t>
      </w:r>
    </w:p>
    <w:p>
      <w:pPr>
        <w:pStyle w:val="BodyText"/>
      </w:pPr>
      <w:bookmarkStart w:id="27" w:name="bookmark6"/>
      <w:bookmarkEnd w:id="27"/>
      <w:r>
        <w:t xml:space="preserve"> </w:t>
      </w:r>
      <w:r>
        <w:t xml:space="preserve">7) носитель ключевой информации в форм-факторе USB-токен Type-A,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t xml:space="preserve">Пользователи личных кабинетов могут направить из сервиса электронную заявку на получение КСКПЭП с автоматическим заполнением всех реквизитов. 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</w:t>
      </w:r>
    </w:p>
    <w:p>
      <w:pPr>
        <w:pStyle w:val="BodyText"/>
      </w:pPr>
      <w:r>
        <w:rPr>
          <w:iCs/>
          <w:i/>
        </w:rPr>
        <w:t xml:space="preserve">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место выдачи УЦ ФНС России.</w:t>
      </w:r>
    </w:p>
    <w:p>
      <w:pPr>
        <w:pStyle w:val="BodyText"/>
      </w:pPr>
      <w:r>
        <w:t xml:space="preserve">Получить подробную информацию о выдаче КСКПЭП можно на сайте ФНС России или в Едином контакт- центре ФНС России по телефону 8 800 222 22 22.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http://pechatniki.mos.ru/information-on-taxes-and-nalogooblozhenie/info-fn/detail/10998336.html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information-on-taxes-and-nalogooblozhenie/info-fn/detail/10998336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information-on-taxes-and-nalogooblozhenie/info-fn/detail/10998336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2025-04-22T04:58:10Z</dcterms:created>
  <dcterms:modified xsi:type="dcterms:W3CDTF">2025-04-22T04:58:10Z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