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742d27976491d7dc8bf2d48e28f24f058b8821"/>
    <w:p>
      <w:pPr>
        <w:pStyle w:val="Heading3"/>
      </w:pPr>
      <w:r>
        <w:t xml:space="preserve">График проведения вебинаров с налогоплательщиками в сентябре 2022</w:t>
      </w:r>
    </w:p>
    <w:p>
      <w:pPr>
        <w:pStyle w:val="FirstParagraph"/>
      </w:pPr>
      <w:r>
        <w:t xml:space="preserve">31.08.2022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График проведения вебинаров с налогоплательщиками на сентябрь 2022г. ИФНС России №7722 по г. Москве</w:t>
      </w:r>
    </w:p>
    <w:p>
      <w:pPr>
        <w:pStyle w:val="BodyText"/>
      </w:pPr>
      <w:r>
        <w:drawing>
          <wp:inline>
            <wp:extent cx="5334000" cy="77046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echatniki.mos.ru/www/график%20сентябрь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4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http://pechatniki.mos.ru/information-on-taxes-and-nalogooblozhenie/info-fn/detail/11025042.html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information-on-taxes-and-nalogooblozhenie/info-fn/detail/110250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information-on-taxes-and-nalogooblozhenie/info-fn/detail/110250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2024-10-08T01:19:16Z</dcterms:created>
  <dcterms:modified xsi:type="dcterms:W3CDTF">2024-10-08T01:19:16Z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