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f5416e5d47e25aaa91ad7aa8d5d61dcf1637c"/>
    <w:p>
      <w:pPr>
        <w:pStyle w:val="Heading3"/>
      </w:pPr>
      <w:r>
        <w:t xml:space="preserve">Что такое налоговое уведомление и как его исполнить?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и НДФЛ (в отношении ряда доходов, по которым не удержан НДФЛ) возложена на налоговые органы (пункт 2 статьи 52 Налогового кодекса Российской Федерации, далее - НК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и включает сумму налога, подлежащую уплате, сведения об объектах налогообложения, налоговой базе, сроке уплаты налога, а также сведения, необходимые для перечисления налога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Налоговое уведомление может быть направлено налогоплательщику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Налогоплательщик (его законный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 /560@)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Налоговое уведомление за налоговый период 2021 года должно быть исполнено (налоги в нём оплачены) не позднее 1 декабря 2022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http://pechatniki.mos.ru/information-on-taxes-and-nalogooblozhenie/info-fn/detail/11123327.html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123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123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2025-08-04T04:27:35Z</dcterms:created>
  <dcterms:modified xsi:type="dcterms:W3CDTF">2025-08-04T04:27:35Z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