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e13b9fceb62f7861d424f0ded3e9f7c4fe352"/>
    <w:p>
      <w:pPr>
        <w:pStyle w:val="Heading3"/>
      </w:pPr>
      <w:r>
        <w:t xml:space="preserve">Как воспользоваться льготой, неучтенной в налоговом уведомлении</w:t>
      </w:r>
    </w:p>
    <w:p>
      <w:pPr>
        <w:pStyle w:val="FirstParagraph"/>
      </w:pPr>
      <w:r>
        <w:t xml:space="preserve">17.10.2022</w:t>
      </w:r>
    </w:p>
    <w:p>
      <w:pPr>
        <w:pStyle w:val="BodyText"/>
      </w:pPr>
      <w:r>
        <w:t xml:space="preserve">Шаг 1. 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Шаг 2. 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Шаг 3. Убедившись, что налогоплательщик относиться к категориям лиц, имеющим право на налоговую льготу, но налоговая льгота не учтена в 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ранее заявление о предоставлении налоговой льготы направлялось в налоговый орган и в нём не указывалось на то, что льгота будет использована в ограниченный период, заново представлять заявление не требуется.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через уполномоченный МФЦ.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Налоговые ставки и льготы (включая налоговые вычеты из налоговой базы) устанавливаются нормативными правовыми актами различного уровня: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по транспортному налогу: главой 28 НК РФ и законами субъектов Российской Федерации по месту нахождения транспортного средства;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по земельному налогу и налогу на имущество физических лиц: главами 31, 32 НК РФ и нормативными правовыми актами представительных органов муниципальных образований (законами городов федерального значения) по месту нахождения объектов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информацией о налоговых ставках, налоговых льготах и налоговых вычетах (по всем видам налогов во всех муниципальных образованиях) можно ознакомиться в рубрике «Справочная информация о ставках и льготах по имущественным налогам» (https://www.nalog.ru/rn77/service/tax/), либо обратившись в налоговые инспекции или в контакт-центр ФНС России (тел. 8 800 - 222-22-22).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http://pechatniki.mos.ru/information-on-taxes-and-nalogooblozhenie/info-fn/detail/11123338.html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123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123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2023-10-10T10:17:06Z</dcterms:created>
  <dcterms:modified xsi:type="dcterms:W3CDTF">2023-10-10T10:17:06Z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