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8b0b070781b3dc6e3a8f4f44969bcb9c9bd0e"/>
    <w:p>
      <w:pPr>
        <w:pStyle w:val="Heading3"/>
      </w:pPr>
      <w:r>
        <w:t xml:space="preserve">График проведения вебинаров с налогоплательщиками на октябрь 2022г. ИФНС России №7722 по г. Москве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график%20октя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http://pechatniki.mos.ru/information-on-taxes-and-nalogooblozhenie/info-fn/detail/11129881.html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129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129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2024-11-08T16:47:34Z</dcterms:created>
  <dcterms:modified xsi:type="dcterms:W3CDTF">2024-11-08T16:47:34Z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