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единый-налоговый-счет"/>
    <w:p>
      <w:pPr>
        <w:pStyle w:val="Heading3"/>
      </w:pPr>
      <w:r>
        <w:t xml:space="preserve">Единый налоговый счет</w:t>
      </w:r>
    </w:p>
    <w:p>
      <w:pPr>
        <w:pStyle w:val="FirstParagraph"/>
      </w:pPr>
      <w:r>
        <w:t xml:space="preserve">27.12.2022</w:t>
      </w:r>
    </w:p>
    <w:p>
      <w:pPr>
        <w:pStyle w:val="BodyText"/>
      </w:pPr>
      <w:r>
        <w:drawing>
          <wp:inline>
            <wp:extent cx="5334000" cy="75435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Единый%20налоговый%20сче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5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http://pechatniki.mos.ru/information-on-taxes-and-nalogooblozhenie/info-fn/detail/11319623.html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319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319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2024-10-29T17:05:29Z</dcterms:created>
  <dcterms:modified xsi:type="dcterms:W3CDTF">2024-10-29T17:05:29Z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