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8d11a922f99468e4a1b7a31094405dd7aa820"/>
    <w:p>
      <w:pPr>
        <w:pStyle w:val="Heading3"/>
      </w:pPr>
      <w:r>
        <w:t xml:space="preserve">Транспортный и земельный налог организаций</w:t>
      </w:r>
    </w:p>
    <w:p>
      <w:pPr>
        <w:pStyle w:val="FirstParagraph"/>
      </w:pPr>
      <w:r>
        <w:t xml:space="preserve">17.01.2023</w:t>
      </w:r>
    </w:p>
    <w:p>
      <w:pPr>
        <w:pStyle w:val="BodyText"/>
      </w:pPr>
      <w:r>
        <w:t xml:space="preserve">По состоянию за 31.12.2022 вся переплата, сложившаяся по транспортному и земельному налогу фиксируется на соответствующем налоге и в соответствующем бюджете. Т.е. принудительного переноса на единый налоговый платеж (далее - ЕНП) не будет.</w:t>
      </w:r>
    </w:p>
    <w:p>
      <w:pPr>
        <w:pStyle w:val="BodyText"/>
      </w:pPr>
      <w:r>
        <w:t xml:space="preserve">Указанная переплата остается в бюджете до момента отражения в ЕНС начислений, по указанным налогам в соответствии с расчетом, проведенным налоговым органом (ст. 363, 397 Налогового кодекса Российской Федерации).</w:t>
      </w:r>
    </w:p>
    <w:p>
      <w:pPr>
        <w:pStyle w:val="BodyText"/>
      </w:pPr>
      <w:r>
        <w:t xml:space="preserve">Начисленные налоговым органом суммы сравниваются с суммами авансов, зафиксированными (уплаченными) по соответствующим налогам (бюджетам).</w:t>
      </w:r>
    </w:p>
    <w:p>
      <w:pPr>
        <w:pStyle w:val="BodyText"/>
      </w:pPr>
      <w:r>
        <w:t xml:space="preserve">В случае если суммы, зафиксированные (уплаченные) по соответствующим налогам (бюджетам), превышают суммы, исчисленные налоговым органом, производится перенос излишка суммы на ЕНП.</w:t>
      </w:r>
    </w:p>
    <w:p>
      <w:pPr>
        <w:pStyle w:val="BodyText"/>
      </w:pPr>
      <w:r>
        <w:t xml:space="preserve">Чтобы вернуть деньги в бюджет налогоплательщик должен представить заявление о распоряжении суммой денежных средств путем зачета в счет исполнения предстоящей обязанности по уплате конкретного налога. В заявлении обязательно указывается конкретный налог (КБК) и бюджет (ОКТМО) и соответствующие срок уплаты. Такое заявление представляется в налоговый орган через ЛК или ТКС.</w:t>
      </w:r>
    </w:p>
    <w:p>
      <w:pPr>
        <w:pStyle w:val="BodyText"/>
      </w:pPr>
      <w:r>
        <w:t xml:space="preserve">Для фактического зачисления денег в бюджет налоговым органом будет направлена соответствующая информация в орган Федерального казначейства не позднее следующего дня после получения заявления от налогоплательщика.</w:t>
      </w:r>
    </w:p>
    <w:p>
      <w:pPr>
        <w:pStyle w:val="BodyText"/>
      </w:pPr>
      <w:r>
        <w:t xml:space="preserve">ВАЖНО!!!</w:t>
      </w:r>
    </w:p>
    <w:p>
      <w:pPr>
        <w:pStyle w:val="BodyText"/>
      </w:pPr>
      <w:r>
        <w:t xml:space="preserve">Деньги будут изъяты из предстоящих начислений (из бюджетов) в случае:</w:t>
      </w:r>
    </w:p>
    <w:p>
      <w:pPr>
        <w:pStyle w:val="BodyText"/>
      </w:pPr>
      <w:r>
        <w:t xml:space="preserve">- возникновения отрицательного сальдо ЕНС - в размере суммы отрицательного сальдо;</w:t>
      </w:r>
    </w:p>
    <w:p>
      <w:pPr>
        <w:pStyle w:val="BodyText"/>
      </w:pPr>
      <w:r>
        <w:t xml:space="preserve">- возникновения начислений по обязанностям в которые произведен зачет в счет предстоящих начислений (совпадает КБК, ОКТМО, срок уплаты и тп) - в размере указанных обязанностей.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http://pechatniki.mos.ru/information-on-taxes-and-nalogooblozhenie/info-fn/detail/11350327.html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13503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13503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2023-10-10T10:16:21Z</dcterms:created>
  <dcterms:modified xsi:type="dcterms:W3CDTF">2023-10-10T10:16:21Z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