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лог-на-имущество-организаций"/>
    <w:p>
      <w:pPr>
        <w:pStyle w:val="Heading3"/>
      </w:pPr>
      <w:r>
        <w:t xml:space="preserve">Налог на имущество организаций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t xml:space="preserve">По состоянию за 31.12.2022 вся переплата, сложившаяся по налогу на имущество фиксируется на соответствующем налоге и в соответствующем бюджете. Т.е. принудительного переноса на ЕНП не будет.</w:t>
      </w:r>
    </w:p>
    <w:p>
      <w:pPr>
        <w:pStyle w:val="BodyText"/>
      </w:pPr>
      <w:r>
        <w:t xml:space="preserve">Часть переплаты будет учтена в начисления, указанные плательщиком в декларации по налогу на имущество представленному по сроку представления 25.03.2023.</w:t>
      </w:r>
    </w:p>
    <w:p>
      <w:pPr>
        <w:pStyle w:val="BodyText"/>
      </w:pPr>
      <w:r>
        <w:t xml:space="preserve">Оставшаяся часть переплаты продолжает учитываться в бюджете до момента отражения в ЕНС начислений, по указанному налогу в соответствии с расчетом, проведенным налоговым органом (ст. 383 НК РФ).</w:t>
      </w:r>
    </w:p>
    <w:p>
      <w:pPr>
        <w:pStyle w:val="BodyText"/>
      </w:pPr>
      <w:r>
        <w:t xml:space="preserve">По факту учета начислений в совокупной обязанности сравниваются суммы, указанные в расчете налогового органа, с суммами, зафиксированными (уплаченными) по соответствующему налогу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соответствующему налогу (бюджетам), превышают суммы по декларации и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</w:t>
      </w:r>
    </w:p>
    <w:p>
      <w:pPr>
        <w:pStyle w:val="BodyText"/>
      </w:pPr>
      <w:r>
        <w:t xml:space="preserve">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-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- в размере указанных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http://pechatniki.mos.ru/information-on-taxes-and-nalogooblozhenie/info-fn/detail/11350330.html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350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2023-10-10T14:21:08Z</dcterms:created>
  <dcterms:modified xsi:type="dcterms:W3CDTF">2023-10-10T14:21:08Z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