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d34900a9012e9d503cf7f982e48fe9c105b26"/>
    <w:p>
      <w:pPr>
        <w:pStyle w:val="Heading3"/>
      </w:pPr>
      <w:r>
        <w:t xml:space="preserve">27 января 2023 года вебинар по теме: "Порядок заполнения платежных документов в условиях работы ЕНС"</w:t>
      </w:r>
    </w:p>
    <w:p>
      <w:pPr>
        <w:pStyle w:val="FirstParagraph"/>
      </w:pPr>
      <w:r>
        <w:t xml:space="preserve">19.01.2023</w:t>
      </w:r>
    </w:p>
    <w:p>
      <w:pPr>
        <w:pStyle w:val="BodyText"/>
      </w:pPr>
      <w:r>
        <w:drawing>
          <wp:inline>
            <wp:extent cx="5334000" cy="75456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_local/lFqEiANsx7_qBC3Zb-CxE9NihKoz1LFqChlmrrMROSltfiIyoX0hHhb3262-g8JgjAOcSb3vJg9X8-ULRM7bY0WPsCl6ECCUApDlLceiJk-5cihQmmCOLV_ugg5s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http://pechatniki.mos.ru/information-on-taxes-and-nalogooblozhenie/info-fn/detail/11355518.html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355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355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2023-10-10T08:20:34Z</dcterms:created>
  <dcterms:modified xsi:type="dcterms:W3CDTF">2023-10-10T08:20:34Z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