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4377fbb4829aa542f8abab81905162b67b59f"/>
    <w:p>
      <w:pPr>
        <w:pStyle w:val="Heading3"/>
      </w:pPr>
      <w:r>
        <w:t xml:space="preserve">Льгота по транспортному налогу в отношении электромобилей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t xml:space="preserve">В соответствии с Законом г. Москвы от 09.07.2008 № 33 «О транспортном налоге» на территории г. Москвы с 01.01.2020 физические лица, на которых зарегистрированы транспортные средства, оснащенные исключительно электрическими двигателями, освобождены от уплаты транспортного налога в отношении указанных автомобилей.</w:t>
      </w:r>
    </w:p>
    <w:p>
      <w:pPr>
        <w:pStyle w:val="BodyText"/>
      </w:pPr>
      <w:r>
        <w:t xml:space="preserve">Налоговая льгота по транспортному налогу представляется физическим лицам в отношении всех транспортных средств, оснащенных исключительно электрическим двигателем и зарегистрированных на указанных лиц.</w:t>
      </w:r>
    </w:p>
    <w:p>
      <w:pPr>
        <w:pStyle w:val="BodyText"/>
      </w:pPr>
      <w:r>
        <w:t xml:space="preserve">Данные положения утрачивают силу с 01.01.2025.</w:t>
      </w:r>
    </w:p>
    <w:p>
      <w:pPr>
        <w:pStyle w:val="BodyText"/>
      </w:pPr>
      <w:r>
        <w:t xml:space="preserve">При наличии у налогоплательщика права на получение льгот по нескольким основаниям льгота предоставляется по одному основанию по выбору налогоплательщика.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http://pechatniki.mos.ru/information-on-taxes-and-nalogooblozhenie/info-fn/detail/11507650.html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1507650.html" TargetMode="External" /><Relationship Type="http://schemas.openxmlformats.org/officeDocument/2006/relationships/hyperlink" Id="rId2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1507650.html" TargetMode="External" /><Relationship Type="http://schemas.openxmlformats.org/officeDocument/2006/relationships/hyperlink" Id="rId2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2025-03-31T16:29:26Z</dcterms:created>
  <dcterms:modified xsi:type="dcterms:W3CDTF">2025-03-31T16:29:26Z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