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8f42c05d26cd8c2ba078778e704651a604fce2"/>
    <w:p>
      <w:pPr>
        <w:pStyle w:val="Heading3"/>
      </w:pPr>
      <w:r>
        <w:t xml:space="preserve">Типовые уставы для ООО - быстро, надежно, выгодно!</w:t>
      </w:r>
    </w:p>
    <w:p>
      <w:pPr>
        <w:pStyle w:val="FirstParagraph"/>
      </w:pPr>
      <w:r>
        <w:t xml:space="preserve">23.08.2024</w:t>
      </w:r>
    </w:p>
    <w:p>
      <w:pPr>
        <w:pStyle w:val="BodyText"/>
      </w:pPr>
      <w:r>
        <w:t xml:space="preserve">Основания использования типового устава:</w:t>
      </w:r>
    </w:p>
    <w:p>
      <w:pPr>
        <w:pStyle w:val="BodyText"/>
      </w:pPr>
      <w:r>
        <w:t xml:space="preserve">* статья 52 Гражданского кодекса РФ .</w:t>
      </w:r>
    </w:p>
    <w:p>
      <w:pPr>
        <w:pStyle w:val="BodyText"/>
      </w:pPr>
      <w:r>
        <w:t xml:space="preserve">* статья 12 Федерального закона «Об обществах с ограниченной ответственностью».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Плюсы типового устава:</w:t>
      </w:r>
    </w:p>
    <w:p>
      <w:pPr>
        <w:pStyle w:val="BodyText"/>
      </w:pPr>
      <w:r>
        <w:t xml:space="preserve">* 100% готовность - в нём ничего не нужно доделывать, «взял и выбрал»; * Бесплатный - этот устав точно за 0 рублей;</w:t>
      </w:r>
    </w:p>
    <w:p>
      <w:pPr>
        <w:pStyle w:val="BodyText"/>
      </w:pPr>
      <w:r>
        <w:t xml:space="preserve">* Экономичный - не нужно платить пошлину, чтобы заказывать копию устава, — он будет в постоянном доступе на официальном сайте ФНС России;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* Обезличенный - в тексте типового устава нет названия компании, места нахождения и размера уставного капитала (эти данные указываются в протоколах учредителей, заявлениях на регистрацию и ЕГРЮЛ);</w:t>
      </w:r>
    </w:p>
    <w:p>
      <w:pPr>
        <w:pStyle w:val="BodyText"/>
      </w:pPr>
      <w:r>
        <w:t xml:space="preserve">* Лёгкий — ненужно подавать на регистрацию в налоговый орган;</w:t>
      </w:r>
    </w:p>
    <w:p>
      <w:pPr>
        <w:pStyle w:val="BodyText"/>
      </w:pPr>
      <w:r>
        <w:t xml:space="preserve">* Небумажный — его не нужно специально хранить и просто не получится потерять; *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Узаконенный - типовые уставы утверждены уполномоченным органом — Министерством экономического развития (приказ от01.08.2018 № 411).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Выбор типового устава Выберите один из 36 типовых уставов. Для этого воспользуйтесь бесплатным сервисом.</w:t>
      </w:r>
    </w:p>
    <w:p>
      <w:pPr>
        <w:pStyle w:val="BodyText"/>
      </w:pPr>
      <w:r>
        <w:t xml:space="preserve">Просто ответьте на несколько вопросов и сервис автоматически подберёт подходящий устав.</w:t>
      </w:r>
    </w:p>
    <w:p>
      <w:pPr>
        <w:pStyle w:val="BodyText"/>
      </w:pPr>
      <w:r>
        <w:t xml:space="preserve">Чтобы перейти к сервису «Выбор типового устава», перейдите на сайт</w:t>
      </w:r>
      <w:r>
        <w:t xml:space="preserve"> </w:t>
      </w:r>
      <w:hyperlink r:id="rId20">
        <w:r>
          <w:rPr>
            <w:rStyle w:val="Hyperlink"/>
          </w:rPr>
          <w:t xml:space="preserve">https://service.nalog.ru/statute/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http://pechatniki.mos.ru/information-on-taxes-and-nalogooblozhenie/info-fn/detail/12532875.html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information-on-taxes-and-nalogooblozhenie/info-fn/detail/12532875.html" TargetMode="External" /><Relationship Type="http://schemas.openxmlformats.org/officeDocument/2006/relationships/hyperlink" Id="rId20" Target="https://service.nalog.ru/statute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information-on-taxes-and-nalogooblozhenie/info-fn/detail/12532875.html" TargetMode="External" /><Relationship Type="http://schemas.openxmlformats.org/officeDocument/2006/relationships/hyperlink" Id="rId20" Target="https://service.nalog.ru/statute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2024-10-18T14:15:41Z</dcterms:created>
  <dcterms:modified xsi:type="dcterms:W3CDTF">2024-10-18T14:15:41Z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