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118b4b4dffaf3cb4da555f1c0e98d61ef67e2"/>
    <w:p>
      <w:pPr>
        <w:pStyle w:val="Heading3"/>
      </w:pPr>
      <w:r>
        <w:t xml:space="preserve">Причины изменений сумм налогов на имущество в 2024 году</w:t>
      </w:r>
    </w:p>
    <w:p>
      <w:pPr>
        <w:pStyle w:val="FirstParagraph"/>
      </w:pPr>
      <w:r>
        <w:t xml:space="preserve">21.10.2024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 Существуют и общие основания для изменения налоговой нагрузки. Транспортный налог. Рост налога может обуславливаться следующими причинами: 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 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 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 Земельный налог. Рост налога может обуславливаться следующими причинами: 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 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 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 Налог на имущество физических лиц. 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w:t>
      </w:r>
    </w:p>
    <w:p>
      <w:pPr>
        <w:pStyle w:val="BodyText"/>
      </w:pPr>
      <w:r>
        <w:br/>
      </w:r>
    </w:p>
    <w:p>
      <w:pPr>
        <w:pStyle w:val="BodyText"/>
      </w:pPr>
      <w:r>
        <w:t xml:space="preserve">Адрес страницы:</w:t>
      </w:r>
      <w:r>
        <w:t xml:space="preserve"> </w:t>
      </w:r>
      <w:hyperlink r:id="rId20">
        <w:r>
          <w:rPr>
            <w:rStyle w:val="Hyperlink"/>
          </w:rPr>
          <w:t xml:space="preserve">http://pechatniki.mos.ru/information-on-taxes-and-nalogooblozhenie/info-fn/detail/12620080.html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information-on-taxes-and-nalogooblozhenie/info-fn/detail/126200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information-on-taxes-and-nalogooblozhenie/info-fn/detail/126200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2025-03-28T20:55:38Z</dcterms:created>
  <dcterms:modified xsi:type="dcterms:W3CDTF">2025-03-28T20:55:38Z</dcterms:modified>
</cp:coreProperties>
</file>

<file path=docProps/custom.xml><?xml version="1.0" encoding="utf-8"?>
<Properties xmlns="http://schemas.openxmlformats.org/officeDocument/2006/custom-properties" xmlns:vt="http://schemas.openxmlformats.org/officeDocument/2006/docPropsVTypes"/>
</file>