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4377fbb4829aa542f8abab81905162b67b59f"/>
    <w:p>
      <w:pPr>
        <w:pStyle w:val="Heading3"/>
      </w:pPr>
      <w:r>
        <w:t xml:space="preserve">Льгота по транспортному налогу в отношении электромобилей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с 01.01.2020 физические лица, проживающие на территории г. Москвы, на которых зарегистрированы транспортные средства, оснащенные исключительно электрическими двигателями, освобождены от уплаты транспортного налога.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http://pechatniki.mos.ru/information-on-taxes-and-nalogooblozhenie/info-fn/detail/9802049.html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802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802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2024-11-10T17:04:15Z</dcterms:created>
  <dcterms:modified xsi:type="dcterms:W3CDTF">2024-11-10T17:04:15Z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