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97f5bf9089df2db94f8d3f4e736e2a003111"/>
    <w:p>
      <w:pPr>
        <w:pStyle w:val="Heading3"/>
      </w:pPr>
      <w:r>
        <w:t xml:space="preserve">С 1 апреля 2025 года вступили в силу изменения в Федеральный закон 28.02.2025 № 27-ФЗ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Сведения о транспортных средствах, используемых для транспортирования твердых коммунальных отходов, содержащиеся в ФГИС УТКО,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(или) крупногабаритного транспортного средства с использованием единой системы межведомственного электронного взаимодействия.</w:t>
      </w:r>
    </w:p>
    <w:p>
      <w:pPr>
        <w:pStyle w:val="BodyText"/>
      </w:pPr>
      <w:r>
        <w:t xml:space="preserve">При этом, Правительством Российской Федерации до 01.09.2026 будут установлены требования к транспортным средствам, производимым и используемым для транспортирования ТКО по автомобильным дорогам общего пользования федерального, регионального или межмуниципального, местного значения, и их эксплуатации, которые будут обязательны к применению в отношении транспортных средств, выпущенных в обращение после 01.03.2028.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2025-07-25T07:32:11Z</dcterms:created>
  <dcterms:modified xsi:type="dcterms:W3CDTF">2025-07-25T07:32:11Z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