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сстановление-в-родительских-правах"/>
    <w:p>
      <w:pPr>
        <w:pStyle w:val="Heading3"/>
      </w:pPr>
      <w:r>
        <w:t xml:space="preserve">Восстановление в родительских правах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В соответствии со статьёй 72 Семейного кодекса Российской Федерации родители, лишённые родительских прав, могут быть восстановлены в этих правах, если изменили своё поведение, образ жизни и отношение к воспитанию ребёнка.</w:t>
      </w:r>
    </w:p>
    <w:p>
      <w:pPr>
        <w:pStyle w:val="BodyText"/>
      </w:pPr>
      <w:r>
        <w:t xml:space="preserve">Вопрос рассматривается в судебном порядке по заявлению одного из родителей с обязательным участием органа опеки и попечительства, а также прокурора.</w:t>
      </w:r>
    </w:p>
    <w:p>
      <w:pPr>
        <w:pStyle w:val="BodyText"/>
      </w:pPr>
      <w:r>
        <w:t xml:space="preserve">Одновременно суд может рассмотреть требование о возвращении ребёнка родителям. При этом учитывается мнение самого ребёнка, а если ему исполнилось десять лет – его согласие обязательно.</w:t>
      </w:r>
    </w:p>
    <w:p>
      <w:pPr>
        <w:pStyle w:val="BodyText"/>
      </w:pPr>
      <w:r>
        <w:t xml:space="preserve">Суд вправе отказать в восстановлении родительских прав, если это противоречит интересам ребёнка.</w:t>
      </w:r>
    </w:p>
    <w:p>
      <w:pPr>
        <w:pStyle w:val="BodyText"/>
      </w:pPr>
      <w:r>
        <w:t xml:space="preserve">Восстановление невозможно, если ребёнок был усыновлён и усыновление не отменено.</w:t>
      </w:r>
    </w:p>
    <w:p>
      <w:pPr>
        <w:pStyle w:val="BodyText"/>
      </w:pPr>
      <w:r>
        <w:t xml:space="preserve">После вступления решение суда в законную силу выписка направляется в органы опеки, ЗАГС и (при необходимости) в многофункциональный центр по месту регистрации рождения ребёнка.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http://pechatniki.mos.ru/law-and-order/the-prosecutor-s-office/lyublinskaya-mezhrayonnaya-prokuratura/detail/12971566.html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2025-05-18T17:36:46Z</dcterms:created>
  <dcterms:modified xsi:type="dcterms:W3CDTF">2025-05-18T17:36:46Z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