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b24688e2fc53a90972b7a7edc47821154cc0f"/>
    <w:p>
      <w:pPr>
        <w:pStyle w:val="Heading3"/>
      </w:pPr>
      <w:r>
        <w:t xml:space="preserve">За нарушение порядка раскрытия информации управляющей организацией ответственное должностное лицо привлечено к административной ответственности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Люблинской межрайонной прокуратурой г. Москвы проведена проверка по обращению, содержащему доводы о несоблюдении управляющей организацией сроков для ответа на запрос (обращение).</w:t>
      </w:r>
    </w:p>
    <w:p>
      <w:pPr>
        <w:pStyle w:val="BodyText"/>
      </w:pPr>
      <w:r>
        <w:t xml:space="preserve">Разделом VIII Правил осуществления деятельности по управлению многоквартирными домами, утвержденными постановлением Правительства Российской Федерации от 15.05.2013 № 416 «О порядке осуществления деятельности по управлению многоквартирными домами» (далее - Правила), определены сроки раскрытия информация по поступившим запросам (обращениям).</w:t>
      </w:r>
    </w:p>
    <w:p>
      <w:pPr>
        <w:pStyle w:val="BodyText"/>
      </w:pPr>
      <w:r>
        <w:t xml:space="preserve">В ходе проведения проверки установлено, что в нарушение пункта 36 Правил ответ на обращение, поступившее в управляющую организацию, направлен несвоевременно.</w:t>
      </w:r>
    </w:p>
    <w:p>
      <w:pPr>
        <w:pStyle w:val="BodyText"/>
      </w:pPr>
      <w:r>
        <w:t xml:space="preserve">По факту выявленного нарушения руководителю управляющей организации внесено представление об устранении нарушений федерального законодательства, которое рассмотрено и удовлетворено.</w:t>
      </w:r>
    </w:p>
    <w:p>
      <w:pPr>
        <w:pStyle w:val="BodyText"/>
      </w:pPr>
      <w:r>
        <w:t xml:space="preserve">Также в отношении ответственного должностного лица возбуждено дело об административном правонарушении, предусмотренном статьей 5.39 Кодекса Российской Федерации об административных правонарушениях (далее - КоАП РФ).</w:t>
      </w:r>
    </w:p>
    <w:p>
      <w:pPr>
        <w:pStyle w:val="BodyText"/>
      </w:pPr>
      <w:r>
        <w:t xml:space="preserve">Постановлением мирового судьи ответственное должностное лицо управляющей организации привлечено к административной ответственности по статье 5.39 КоАП РФ с назначением наказания в виде штрафа.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http://pechatniki.mos.ru/law-and-order/the-prosecutor-s-office/lyublinskaya-mezhrayonnaya-prokuratura/detail/12977217.html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2025-07-04T00:56:47Z</dcterms:created>
  <dcterms:modified xsi:type="dcterms:W3CDTF">2025-07-04T00:56:47Z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