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f4b2597ec8a4385ed2f6dfcd0b48c6ab6c3e6"/>
    <w:p>
      <w:pPr>
        <w:pStyle w:val="Heading3"/>
      </w:pPr>
      <w:r>
        <w:t xml:space="preserve">Несообщение о готовящейся диверсии влечет уголовную ответственность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Федеральным законом от 21 апреля 2025 г. N 102-ФЗ "О внесении изменения в статью 205.6 Уголовного кодекса Российской Федерации" вводится уголовная ответственность за несообщение в органы власти о преступлениях диверсионной направленности.</w:t>
      </w:r>
    </w:p>
    <w:p>
      <w:pPr>
        <w:pStyle w:val="BodyText"/>
      </w:pPr>
      <w:r>
        <w:t xml:space="preserve">Ответственность наступает за несообщение уполномоченным органам о лице, которое по достоверно известным сведениям готовит, совершает или совершило хотя бы одно из таких преступлений, как диверсия, содействие диверсионной деятельности, прохождение обучения в целях осуществления диверсионной деятельности, организация диверсионного сообщества и участие в нем.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http://pechatniki.mos.ru/law-and-order/the-prosecutor-s-office/lyublinskaya-mezhrayonnaya-prokuratura/detail/13024600.html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2025-07-27T14:26:07Z</dcterms:created>
  <dcterms:modified xsi:type="dcterms:W3CDTF">2025-07-27T14:26:07Z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