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c2384a7014ac90d4fb274472863a318ce7f0b"/>
    <w:p>
      <w:pPr>
        <w:pStyle w:val="Heading3"/>
      </w:pPr>
      <w:r>
        <w:t xml:space="preserve">ПРОКУРАТУРА РАЗЪЯСНЯЕТ: КТО ПРЕДСТАВЛЯЕТ ИНТЕРЕСЫ ГРАЖДАНИНА – ПОТЕРПЕВШЕГО ОТ ПРЕСТУПЛЕНИЯ В СУДЕ ПРИ РАССМОТРЕНИИ УГОЛОВНОГО ДЕЛА ПУБЛИЧНОГО И ЧАСТНО-ПУБЛИЧНОГО ОБВИНЕНИЯ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Согласно действующему уголовно-процессуальному законодательству, потерпевший, его законный представитель и (или) представитель вправе участвовать в уголовном преследовании обвиняемого.</w:t>
      </w:r>
    </w:p>
    <w:p>
      <w:pPr>
        <w:pStyle w:val="BodyText"/>
      </w:pPr>
      <w:r>
        <w:t xml:space="preserve">В ходе уголовного судопроизводства потерпевший наделен законом обширными правами по поддержанию обвинения, выдвинутого государством против подсудимого, и участию во всех значимых процессуальных действиях.</w:t>
      </w:r>
    </w:p>
    <w:p>
      <w:pPr>
        <w:pStyle w:val="BodyText"/>
      </w:pPr>
      <w:r>
        <w:t xml:space="preserve">В рамках указанных прав потерпевший вправе иметь представителя.</w:t>
      </w:r>
    </w:p>
    <w:p>
      <w:pPr>
        <w:pStyle w:val="BodyText"/>
      </w:pPr>
      <w:r>
        <w:t xml:space="preserve">Потерпевшему по результатам рассмотрения уголовного дела судом обеспечивается возмещение имущественного вреда, причиненного преступлением, а также расходов, понесенных в связи с его участием в ходе предварительного расследования и в суде, включая расходы на представителя.</w:t>
      </w:r>
    </w:p>
    <w:p>
      <w:pPr>
        <w:pStyle w:val="BodyText"/>
      </w:pPr>
      <w:r>
        <w:t xml:space="preserve">Согласно ст. 45 Уголовно-процессуального кодекса Российской Федерации (УПК РФ) представителями потерпевшего могут быть адвокаты.</w:t>
      </w:r>
    </w:p>
    <w:p>
      <w:pPr>
        <w:pStyle w:val="BodyText"/>
      </w:pPr>
      <w:r>
        <w:t xml:space="preserve">По постановлению мирового судьи в качестве представителя потерпевшего могут быть также допущены один из близких родственников потерпевшего или гражданского истца либо иное лицо, о допуске которого ходатайствует потерпевший или гражданский истец.</w:t>
      </w:r>
    </w:p>
    <w:p>
      <w:pPr>
        <w:pStyle w:val="BodyText"/>
      </w:pPr>
      <w:r>
        <w:t xml:space="preserve">Для защиты прав и законных интересов потерпевших,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интересы, к обязательному участию в уголовном деле привлекаются их законные представители или представители.</w:t>
      </w:r>
    </w:p>
    <w:p>
      <w:pPr>
        <w:pStyle w:val="BodyText"/>
      </w:pPr>
      <w:r>
        <w:t xml:space="preserve">Согласно закону, прокурор и потерпевший в ходе уголовного судопроизводства выступают на одной стороне, являясь участниками судопроизводства со стороны обвинения.</w:t>
      </w:r>
    </w:p>
    <w:p>
      <w:pPr>
        <w:pStyle w:val="BodyText"/>
      </w:pPr>
      <w:r>
        <w:t xml:space="preserve">Обязанностью прокурора является не только уголовное преследование подсудимого, но и обеспечение законности и обоснованности государственного обвинения, отстаивание публичных интересов и достижение назначения уголовного процесса, которым является, в том числе, защита прав и законных интересов лиц и организаций, потерпевших от преступлений. В силу ч. 6 ст. 246 УПК РФ прокурор предъявляет или поддерживает предъявленный по уголовному делу гражданский иск, если этого требует охрана прав граждан, общественных или государственных интересов.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http://pechatniki.mos.ru/law-and-order/the-prosecutor-s-office/lyublinskaya-mezhrayonnaya-prokuratura/detail/13024639.html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2025-06-18T22:03:26Z</dcterms:created>
  <dcterms:modified xsi:type="dcterms:W3CDTF">2025-06-18T22:03:26Z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