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8d700449d5ab8e18ae571fe90e95d8efdd4cb0"/>
    <w:p>
      <w:pPr>
        <w:pStyle w:val="Heading3"/>
      </w:pPr>
      <w:r>
        <w:t xml:space="preserve">Об уголовной ответственности за приведение в негодность транспортных средств или путей сообщения</w:t>
      </w:r>
    </w:p>
    <w:p>
      <w:pPr>
        <w:pStyle w:val="FirstParagraph"/>
      </w:pPr>
      <w:r>
        <w:t xml:space="preserve">11.06.2025</w:t>
      </w:r>
    </w:p>
    <w:p>
      <w:pPr>
        <w:pStyle w:val="BodyText"/>
      </w:pPr>
      <w:r>
        <w:t xml:space="preserve">Под приведением в негодность транспортных средств понимается любое действие, которое создает препятствия для движения транспортных средств. Это может быть повреждение железнодорожных путей или приведение иным способом в негодное состояние транспортного средства, средств сигнализации, связи и другого транспортного оборудования, если эти деяния создали угрозу жизни, здоровью и безопасности граждан либо угрозу уничтожения или повреждения имущества физических и (или) юридических лиц.</w:t>
      </w:r>
    </w:p>
    <w:p>
      <w:pPr>
        <w:pStyle w:val="BodyText"/>
      </w:pPr>
      <w:r>
        <w:t xml:space="preserve">Наказание за приведение в негодность транспортных средств или путей сообщения зависит от тяжести совершенного деяния и наличия квалифицирующих признаков.</w:t>
      </w:r>
    </w:p>
    <w:p>
      <w:pPr>
        <w:pStyle w:val="BodyText"/>
      </w:pPr>
      <w:r>
        <w:t xml:space="preserve">Например, если в результате приведения в негодность транспортных средств или путей сообщения по неосторожности причинен тяжкий вред здоровью человека, срок лишения свободы может составить до 4 лет.</w:t>
      </w:r>
    </w:p>
    <w:p>
      <w:pPr>
        <w:pStyle w:val="BodyText"/>
      </w:pPr>
      <w:r>
        <w:t xml:space="preserve">Действия лиц, умышленно совершивших взрыв, поджог или иные действия, повлекшие повреждение или уничтожение любых объектов транспортной инфраструктуры, средств связи, транспортных средств, при определенных условиях и обстоятельствах могут быть квалифицированы по статье 281 Уголовного кодекса Российской Федерации как диверсия, наказание за которую превышает десять лет лишения свободы.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http://pechatniki.mos.ru/law-and-order/the-prosecutor-s-office/lyublinskaya-mezhrayonnaya-prokuratura/detail/13024660.html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law-and-order/the-prosecutor-s-office/lyublinskaya-mezhrayonnaya-prokuratura/detail/1302466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law-and-order/the-prosecutor-s-office/lyublinskaya-mezhrayonnaya-prokuratura/detail/1302466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2025-07-28T14:28:39Z</dcterms:created>
  <dcterms:modified xsi:type="dcterms:W3CDTF">2025-07-28T14:28:39Z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