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58eb065a383b28298167486503566658437f5"/>
    <w:p>
      <w:pPr>
        <w:pStyle w:val="Heading3"/>
      </w:pPr>
      <w:r>
        <w:t xml:space="preserve">Об уголовной ответственности за несообщение в органы власти о преступлениях диверсионной направленности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За несообщение в органы власти, уполномоченные рассматривать сообщения о преступлении, о лице (лицах), которое по достоверно известным сведениям готовит, совершает или совершило хотя бы одно из преступлений, предусмотренных статьями 281 (диверсия), 281.1 (содействие диверсионной деятельности), 281.2 (прохождение обучения в целях осуществления диверсионной деятельности), 281.3 (организация диверсионного сообщества и участие в нем) Уголовного кодекса Российской Федерации предусмотрена уголовная ответственность по статье 205.6 Уголовного кодекса Российской Федерации в виде штрафа в размере до 100 тыс. рублей или в размере заработной платы или иного дохода осужденного за период до 6 месяцев, либо принудительными работами на срок до 1 года, либо лишением свободы на тот же срок.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http://pechatniki.mos.ru/law-and-order/the-prosecutor-s-office/lyublinskaya-mezhrayonnaya-prokuratura/detail/13024674.html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2025-06-18T22:40:54Z</dcterms:created>
  <dcterms:modified xsi:type="dcterms:W3CDTF">2025-06-18T22:40:54Z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