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bb5376f0faa308779acda9dc4fc77a46377bb"/>
    <w:p>
      <w:pPr>
        <w:pStyle w:val="Heading3"/>
      </w:pPr>
      <w:r>
        <w:t xml:space="preserve">Люблинским судом вынесен приговор в отношении 37-летнего жителя г. Москвы Б., который совершил хищение чужого имущества путем обмана в особо крупном размере.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Б. по ч. 4 ст. 159 УК РФ за совершение хищение чужого имущества путем обмана в особо крупном размере.</w:t>
      </w:r>
    </w:p>
    <w:p>
      <w:pPr>
        <w:pStyle w:val="BodyText"/>
      </w:pPr>
      <w:r>
        <w:t xml:space="preserve">Судом установлено, что Б. под предлогом заключения договоров на оказание услуг, связанных со строительством индивидуальных жилых домов создал ООО «В», при этом не имел реальной возможности и намерения выполнять взятые на себя договорные обязательства. В ООО «В» обратилась потерпевшая Л., желая построить индивидуальный жилой дом, 17.06.2017 прибыла в офис ООО «В» где Б. изготовил и заключил с Л. договор по передаче и монтажу домокомплекта, общей стоимостью 2 370 000 рублей, потерпевшая Л. осуществила оплату на сумму 1 774 000 рублей. В совокупности Б. выполнены работы: подготовка и предоставление проекта домокомплекта на сумму 71 100 рублей и частичная установка каркаса на сумму 150 000 рублей.</w:t>
      </w:r>
    </w:p>
    <w:p>
      <w:pPr>
        <w:pStyle w:val="BodyText"/>
      </w:pPr>
      <w:r>
        <w:t xml:space="preserve">Б. вину не признал.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Б. к окончательному наказанию в виде лишения свободы сроком на 5 лет</w:t>
      </w:r>
    </w:p>
    <w:p>
      <w:pPr>
        <w:pStyle w:val="BodyText"/>
      </w:pPr>
      <w:r>
        <w:t xml:space="preserve">3 месяца с отбыванием наказания в исправительной колонии общего режима, также удовлетворены исковые требования на общую сумму 1 602 900 рублей.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http://pechatniki.mos.ru/law-and-order/the-prosecutor-s-office/lyublinskaya-mezhrayonnaya-prokuratura/detail/13030802.html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30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30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2025-07-02T07:19:35Z</dcterms:created>
  <dcterms:modified xsi:type="dcterms:W3CDTF">2025-07-02T07:19:35Z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