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6d570304d33d2bac9937089fa569a93cdb68"/>
    <w:p>
      <w:pPr>
        <w:pStyle w:val="Heading3"/>
      </w:pPr>
      <w:r>
        <w:t xml:space="preserve">Направлено в суд уголовное дело в отношении гражданина, совершившего мошенничество группой лиц по предварительному сговору, в особо крупном размере.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Люблинской межрайонной прокуратурой г. Москвы 30.04.2025 утверждено обвинительное заключение по обвинению Б. в совершении преступления, предусмотренного ч. 4 ст. 159 УК РФ (Б. совершил мошенничество, то есть хищение чужого имущества путем обмана, совершенное группой лиц по предварительному сговору, в особо крупном размере).</w:t>
      </w:r>
    </w:p>
    <w:p>
      <w:pPr>
        <w:pStyle w:val="BodyText"/>
      </w:pPr>
      <w:r>
        <w:t xml:space="preserve">По версии следствия Б., не позднее 11 часов 37 минут 01 февраля</w:t>
      </w:r>
    </w:p>
    <w:p>
      <w:pPr>
        <w:pStyle w:val="BodyText"/>
      </w:pPr>
      <w:r>
        <w:t xml:space="preserve">2025 вступил в предварительный преступный сговор с неустановленными лицами, направленный на хищение чужого имущества путем обмана, в особо крупном размере. Так, неустановленные лица подыскали лиц, осуществляющих переводы денежных средств через биржу криптовалюты, после чего, передали</w:t>
      </w:r>
    </w:p>
    <w:p>
      <w:pPr>
        <w:pStyle w:val="BodyText"/>
      </w:pPr>
      <w:r>
        <w:t xml:space="preserve">Б. не являющиеся платежными средствами денежные купюры «Билеты Банка Приколов». В свою очередь Б. должен был проследовать на встречу</w:t>
      </w:r>
    </w:p>
    <w:p>
      <w:pPr>
        <w:pStyle w:val="BodyText"/>
      </w:pPr>
      <w:r>
        <w:t xml:space="preserve">с вышеуказанными лицами и после осуществления переводов, в целях сокрытия преступных действий группы, передать не являющиеся платежными средствами денежные купюры под видом настоящих денежных средств лицам, осуществляющие переводы денежных средств. Так, он Б. не позднее 11 часов</w:t>
      </w:r>
    </w:p>
    <w:p>
      <w:pPr>
        <w:pStyle w:val="BodyText"/>
      </w:pPr>
      <w:r>
        <w:t xml:space="preserve">37 минут 01 февраля 2025 года, встретился вместе с П. и З., которые перевели</w:t>
      </w:r>
    </w:p>
    <w:p>
      <w:pPr>
        <w:pStyle w:val="BodyText"/>
      </w:pPr>
      <w:r>
        <w:t xml:space="preserve">на крипотокашелек, указанный Б., денежные средства в эквиваленте на российские рубли 10 608 000 рублей, в свою очередь Б. передал П. и З. денежные купюры «Билета Банка Приколов», после чего, с места совершения преступления скрылся, распорядившись совместно с участниками по преступлению, похищенными денежными средствами по своему усмотрению, тем самым причинив П. и З. материальный ущерб в особо крупном размере.</w:t>
      </w:r>
    </w:p>
    <w:p>
      <w:pPr>
        <w:pStyle w:val="BodyText"/>
      </w:pPr>
      <w:r>
        <w:t xml:space="preserve">Уголовное дело, по обвинению гражданина Б., вместе с обвинительным заключением 30.04.2025 направлено в Люблинский районный суд г. Москвы, для рассмотрения по существу.</w:t>
      </w:r>
    </w:p>
    <w:p>
      <w:pPr>
        <w:pStyle w:val="BodyText"/>
      </w:pPr>
      <w:r>
        <w:t xml:space="preserve">Прокуратура разъясняет, что мошенничество, то есть хищение чужого имущества путем обмана, совершенное группой лиц по предварительному сговору, в особо крупном размере, образует состав преступления, предусмотренный</w:t>
      </w:r>
    </w:p>
    <w:p>
      <w:pPr>
        <w:pStyle w:val="BodyText"/>
      </w:pPr>
      <w:r>
        <w:t xml:space="preserve">ч. 4 ст. 159 УК РФ, предусматривающий наказание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http://pechatniki.mos.ru/law-and-order/the-prosecutor-s-office/lyublinskaya-mezhrayonnaya-prokuratura/detail/13058813.html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5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2025-07-04T23:47:13Z</dcterms:created>
  <dcterms:modified xsi:type="dcterms:W3CDTF">2025-07-04T23:47:13Z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