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dd9df9b97ae266406697f77cfa51edce532bd"/>
    <w:p>
      <w:pPr>
        <w:pStyle w:val="Heading3"/>
      </w:pPr>
      <w:r>
        <w:t xml:space="preserve">Изменена подсудность административных дел о признании информационных материалов экстремистскими</w:t>
      </w:r>
    </w:p>
    <w:p>
      <w:pPr>
        <w:pStyle w:val="FirstParagraph"/>
      </w:pPr>
      <w:r>
        <w:t xml:space="preserve">30.06.2025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Федеральным законом от 14.02.2024 № 15-ФЗ внесены изменения в Кодекс административного судопроизводства Российской Федерации и статью 13 Федерального закона «О противодействии экстремистской деятельности».</w:t>
            </w:r>
          </w:p>
          <w:p>
            <w:pPr>
              <w:jc w:val="left"/>
            </w:pPr>
            <w:r>
              <w:t xml:space="preserve">Административные дела о признании информационных материалов экстремистскими теперь отнесены к подсудности верховного суда республики, краевого, областного суда, суда города федерального значения, суда автономной области и суда автономного округа по месту обнаружения, распространения данных материалов или по адресу организации, осуществляющей их производство.</w:t>
            </w:r>
          </w:p>
          <w:p>
            <w:pPr>
              <w:jc w:val="left"/>
            </w:pPr>
            <w:r>
              <w:t xml:space="preserve">Ранее данные дела рассматривались районными судами.</w:t>
            </w:r>
          </w:p>
          <w:p>
            <w:pPr>
              <w:jc w:val="left"/>
            </w:pPr>
            <w:r>
              <w:t xml:space="preserve">При подготовке указанного административного дела к судебному разбирательству суд привлекает к участию в деле правообладателей, издателей, авторов произведений или перевода соответствующих материалов, если такие лица известны.</w:t>
            </w:r>
          </w:p>
          <w:p>
            <w:pPr>
              <w:jc w:val="left"/>
            </w:pPr>
            <w:r>
              <w:t xml:space="preserve">Если подан административный иск о признании издания религиозного характера экстремистским, суд вызывает в судебное заседание специалиста, обладающего специальными знаниями по соответствующей религии.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http://pechatniki.mos.ru/law-and-order/the-prosecutor-s-office/lyublinskaya-mezhrayonnaya-prokuratura/detail/13074184.html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2025-06-30T20:48:15Z</dcterms:created>
  <dcterms:modified xsi:type="dcterms:W3CDTF">2025-06-30T20:48:15Z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