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5d3fa0495a96a5d65c17a72ef3041beb8ef6"/>
    <w:p>
      <w:pPr>
        <w:pStyle w:val="Heading3"/>
      </w:pPr>
      <w:r>
        <w:t xml:space="preserve">Каковы ограничения в применении меры пресечения в виде заключения под стражу?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Федеральным законом от 28.02.2025 № 13-ФЗ «О внесении изменений в Уголовно-процессуальный кодекс Российской Федерации» приняты поправки в Уголовно-процессуальный кодекс Российской Федерации. В этой связи изменениями, внесенными в Уголовно-процессуальный кодекс Российской Федерации, ограничено применение данной меры пресечения к подозреваемым и обвиняемым в совершении преступлений ненасильственного характера, лицам, имеющим малолетних детей и детей-инвалидов.</w:t>
      </w:r>
    </w:p>
    <w:p>
      <w:pPr>
        <w:pStyle w:val="BodyText"/>
      </w:pPr>
      <w:r>
        <w:t xml:space="preserve">К несовершеннолетнему, беременной женщине, женщине, имеющей малолетнего ребенка, мужчине, являющемуся единственным родителем малолетнего ребенка, усыновителю или опекуну малолетнего ребенка, единственному родителю, усыновителю, опекуну или попечителю ребенка-инвалида заключение под стражу в качестве меры пресечения может быть применено в случае, если они подозреваются или обвиняются в совершении тяжкого или особо тяжкого преступления. В исключительных случаях эта мера пресечения может быть избрана в отношении указанных лиц, подозреваемых или обвиняемых в совершении преступления средней тяжести с применением насилия либо с угрозой его применения. Эта мера пресечения не может быть избрана в отношении подозреваемого или обвиняемого в совершении преступления в случае, если он страдает тяжелым заболеванием, которое включено в перечень тяжелых заболеваний, препятствующих содержанию под стражей подозреваемых или обвиняемых в совершении преступлений, утвержденный Правительством Российской Федерации, и наличие которого подтверждено медицинскими документами.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2025-07-01T13:54:48Z</dcterms:created>
  <dcterms:modified xsi:type="dcterms:W3CDTF">2025-07-01T13:54:48Z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