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b0159d494f22667a9236baa3835da5d5298cd"/>
    <w:p>
      <w:pPr>
        <w:pStyle w:val="Heading3"/>
      </w:pPr>
      <w:r>
        <w:t xml:space="preserve">Внесены изменения в Уголовный кодекс Российской Федерации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С 11.03.2025 начинала действовать новая редакция статьи 167 Уголовного кодекса Российской Федерации, введенная Федеральным законом от 28.02.2025 № 13-ФЗ.</w:t>
      </w:r>
    </w:p>
    <w:p>
      <w:pPr>
        <w:pStyle w:val="BodyText"/>
      </w:pPr>
      <w:r>
        <w:t xml:space="preserve">В статье 167 УК РФ установлена ответственность за умышленное уничтожение или повреждение чужого имущества в случаях причинения потерпевшему значительного материального ущерба на сумму не менее пяти тысяч рублей.</w:t>
      </w:r>
    </w:p>
    <w:p>
      <w:pPr>
        <w:pStyle w:val="BodyText"/>
      </w:pPr>
      <w:r>
        <w:t xml:space="preserve">При этом частью 2 статьи 167 УК РФ предусмотрены квалифицирующие признаки, связанные с мотивом преступления (хулиганские побуждения), способами его совершения (путем поджога, взрыва или иным общеопасным способом) и последствиями (причинением по неосторожности смерти человека или иных тяжких последствий).</w:t>
      </w:r>
    </w:p>
    <w:p>
      <w:pPr>
        <w:pStyle w:val="BodyText"/>
      </w:pPr>
      <w:r>
        <w:t xml:space="preserve">Нововведения дополняют часть 2 статьи 167 УК РФ ответственностью за умышленное уничтожение или повреждение имущества по мотивам политической, идеологической, расовой, национальной или религиозной ненависти или вражды либо по мотивам ненависти или вражды в отношении социальной группы.</w:t>
      </w:r>
    </w:p>
    <w:p>
      <w:pPr>
        <w:pStyle w:val="BodyText"/>
      </w:pPr>
      <w:r>
        <w:t xml:space="preserve">Указанные деяния наказываются принудительными работами на срок до пяти лет либо лишением свободы на тот же срок.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http://pechatniki.mos.ru/law-and-order/the-prosecutor-s-office/lyublinskaya-mezhrayonnaya-prokuratura/detail/13076634.html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2025-07-01T13:54:54Z</dcterms:created>
  <dcterms:modified xsi:type="dcterms:W3CDTF">2025-07-01T13:54:54Z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