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39b29c1bbc8c3c6e6c983bc23b1eedaa4c362"/>
    <w:p>
      <w:pPr>
        <w:pStyle w:val="Heading3"/>
      </w:pPr>
      <w:r>
        <w:t xml:space="preserve">Уголовная ответственность по ст. 334 Уголовного Кодекса РФ</w:t>
      </w:r>
    </w:p>
    <w:p>
      <w:pPr>
        <w:pStyle w:val="FirstParagraph"/>
      </w:pPr>
      <w:r>
        <w:t xml:space="preserve">03.07.2025</w:t>
      </w:r>
    </w:p>
    <w:p>
      <w:pPr>
        <w:pStyle w:val="BodyText"/>
      </w:pPr>
      <w:r>
        <w:t xml:space="preserve">Уголовный кодекс Российской Федерации предусматривает ответственность за нанесение побоев или применение иного насилия в отношении начальника, совершенные во время исполнения им обязанностей военной службы или в связи с исполнением этих обязанностей.</w:t>
      </w:r>
    </w:p>
    <w:p>
      <w:pPr>
        <w:pStyle w:val="BodyText"/>
      </w:pPr>
      <w:r>
        <w:t xml:space="preserve">Побоями признается нанесение не менее двух ударов, повлекших причинение физической боли потерпевшему, но не повлекших причинение вреда его здоровью. Под иным насилием понимаются любые иные насильственные действия, включая ограничение свободы, причинение физической боли, легкого, средней тяжести и тяжкого вреда здоровью.</w:t>
      </w:r>
    </w:p>
    <w:p>
      <w:pPr>
        <w:pStyle w:val="BodyText"/>
      </w:pPr>
      <w:r>
        <w:t xml:space="preserve">При установлении признаков начальника необходимо учитывать соответствующие положения Устава внутренней службы Вооруженных Сил Российской Федерации, Дисциплинарного устава Вооруженных Сил Российской Федерации, Корабельного устава Военно-Морского Флота, Устава военной полиции Вооруженных Сил Российской Федерации.</w:t>
      </w:r>
    </w:p>
    <w:p>
      <w:pPr>
        <w:pStyle w:val="BodyText"/>
      </w:pPr>
      <w:r>
        <w:t xml:space="preserve">Применение насилия в отношении начальника в связи с исполнением им обязанностей военной службы предполагает, что в момент посягательства начальник может не исполнять обязанности военной службы, в том числе находиться вне расположения воинской части и иного места службы.</w:t>
      </w:r>
    </w:p>
    <w:p>
      <w:pPr>
        <w:pStyle w:val="BodyText"/>
      </w:pPr>
      <w:r>
        <w:t xml:space="preserve">Субъектами преступления могут быть военнослужащие, постоянно или временно, по службе или по воинскому званию подчиненные данному начальнику. Преступление может быть совершено подчиненными в соучастии с другими военнослужащими, не являющимися подчиненными данного начальника, а также гражданскими лицами.</w:t>
      </w:r>
    </w:p>
    <w:p>
      <w:pPr>
        <w:pStyle w:val="BodyText"/>
      </w:pPr>
      <w:r>
        <w:t xml:space="preserve">Действия лиц, не являющихся подчиненными для начальника, применивших к нему насилие совместно с его подчиненными, квалифицируются по ч. 5 ст. 33 и соответствующей части ст. 334 УК.</w:t>
      </w:r>
    </w:p>
    <w:p>
      <w:pPr>
        <w:pStyle w:val="BodyText"/>
      </w:pPr>
      <w:r>
        <w:t xml:space="preserve">Преступление считается оконченным с момента нанесения насильственных действий начальнику.</w:t>
      </w:r>
    </w:p>
    <w:p>
      <w:pPr>
        <w:pStyle w:val="BodyText"/>
      </w:pPr>
      <w:r>
        <w:t xml:space="preserve">С субъективной стороны насильственные действия в отношении начальника совершаются умышленно, с прямым умыслом. Мотивом преступления выступают месть, недовольство служебной деятельностью начальника и т.п. Виновный может преследовать цель изменения служебной деятельности начальника, снижения его требовательности по службе.</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http://pechatniki.mos.ru/law-and-order/the-prosecutor-s-office/lyublinskaya-mezhrayonnaya-prokuratura/detail/13081071.html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810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81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2025-08-04T07:09:45Z</dcterms:created>
  <dcterms:modified xsi:type="dcterms:W3CDTF">2025-08-04T07:09:45Z</dcterms:modified>
</cp:coreProperties>
</file>

<file path=docProps/custom.xml><?xml version="1.0" encoding="utf-8"?>
<Properties xmlns="http://schemas.openxmlformats.org/officeDocument/2006/custom-properties" xmlns:vt="http://schemas.openxmlformats.org/officeDocument/2006/docPropsVTypes"/>
</file>