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04cd9daa12f521cf12f647fce76345305a494"/>
    <w:p>
      <w:pPr>
        <w:pStyle w:val="Heading3"/>
      </w:pPr>
      <w:r>
        <w:t xml:space="preserve">Положение «О мероприятиях по преодолению отставаний при реализации рабочих программ по учебным предметам (курсам)»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изучено изучено положение «О мероприятиях по преодолению отставаний при реализации рабочих программ по учебным предметам (курсам)» (далее – Положение), размещенное на официальном сайте Школы, утвержденное директором и изданное с нарушением требований законодательства.</w:t>
      </w:r>
    </w:p>
    <w:p>
      <w:pPr>
        <w:pStyle w:val="BodyText"/>
      </w:pPr>
      <w:r>
        <w:t xml:space="preserve">В соответствии с ч. 1 ст. 28 Федерального закона «Об образовании в Российской Федерации» от 29.12.2012 № 273-ФЗ (далее Закон № 273-ФЗ) образовательная организация обладает автономией, под которой понимается самостоятельность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соответствии с настоящим Федеральным законом, иными нормативными правовыми актами Российской Федерации и уставом образовательной организации.</w:t>
      </w:r>
    </w:p>
    <w:p>
      <w:pPr>
        <w:pStyle w:val="BodyText"/>
      </w:pPr>
      <w:r>
        <w:t xml:space="preserve">В силу п. 1 ч. 3 ст. 28 Закона № 273-ФЗ к компетенции образовательной организации в установленной сфере деятельности относится разработка и принятие правил внутреннего распорядка обучающихся, правил внутреннего трудового распорядка, иных локальных нормативных актов.</w:t>
      </w:r>
    </w:p>
    <w:p>
      <w:pPr>
        <w:pStyle w:val="BodyText"/>
      </w:pPr>
      <w:r>
        <w:t xml:space="preserve">Согласно п. 1.2 Положения, оно разработано в соответствии с приказом Минобрнауки России от 30.08.2013 № 1015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образования», который утратил силу с 01.01.2021, в связи с изданием приказа Минпросвещения России от 28.08.2020 № 442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образования».</w:t>
      </w:r>
    </w:p>
    <w:p>
      <w:pPr>
        <w:pStyle w:val="BodyText"/>
      </w:pPr>
      <w:r>
        <w:t xml:space="preserve">В связи с изложенным, на указанное Положение принесен протест, который рассмотрен и удовлетворен.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http://pechatniki.mos.ru/law-and-order/the-prosecutor-s-office/prokuratura-yugo-vostochnogo-administrativnogo-okruga/detail/12430430.html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2025-03-14T16:56:15Z</dcterms:created>
  <dcterms:modified xsi:type="dcterms:W3CDTF">2025-03-14T16:56:15Z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