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c87d1ab0d4cc54b0dc91a4f4efd8c9e3bdde4"/>
    <w:p>
      <w:pPr>
        <w:pStyle w:val="Heading3"/>
      </w:pPr>
      <w:r>
        <w:t xml:space="preserve">Проведена проверка соблюдения санитарно-эпидемиологического законодательства в деятельности юридического лица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соблюдения санитарно-эпидемиологического законодательства в деятельности юридического лица, оказывающего услуги по предоставлению питания в общеобразовательные учреждения.</w:t>
      </w:r>
    </w:p>
    <w:p>
      <w:pPr>
        <w:pStyle w:val="BodyText"/>
      </w:pPr>
      <w:r>
        <w:t xml:space="preserve">Статьей 41 Конституции Российской Федерации предусмотрено право каждого на охрану здоровья.</w:t>
      </w:r>
    </w:p>
    <w:p>
      <w:pPr>
        <w:pStyle w:val="BodyText"/>
      </w:pPr>
      <w:r>
        <w:t xml:space="preserve">В соответствии с требованиями Федерального закона от 21.11.2011 323-ФЗ «Об основах охраны здоровья граждан в Российской Федерации» (далее – Закон № 323-ФЗ) граждане Российской Федерации обладают правом на охрану здоровья, которое обеспечивается созданием благоприятных условий труда, быта и отдыха; государство признает охрану здоровья детей как одно из важнейших и необходимых условий физического и психического развития детей. Дети независимо от их семейного и социального благополучия подлежат особой охране, включая заботу об их здоровье и надлежащую правовую защиту в сфере охраны здоровья.</w:t>
      </w:r>
    </w:p>
    <w:p>
      <w:pPr>
        <w:pStyle w:val="BodyText"/>
      </w:pPr>
      <w:r>
        <w:t xml:space="preserve">Вместе с тем, в деятельности юридического лица выявлены нарушения санитарно-эпидемиологических требований к организации питания населения в специально оборудованных местах (столовой), в том числе при приготовлении пищи и напитков, их хранении и реализации населению, а именно:</w:t>
      </w:r>
    </w:p>
    <w:p>
      <w:pPr>
        <w:pStyle w:val="BodyText"/>
      </w:pPr>
      <w:r>
        <w:t xml:space="preserve">- в горячем цехе отсутствует маркировка на кухонном инвентаре и посуде (щипцы – 1 шт., крышка – 1 шт.), что не соответствует ст.10, ст.11, ст.17, ч.1 ст. 28 Федерального Закона от 30.03.99г. № 52-ФЗ «О санитарно-эпидемиологическом благополучии населения»; п.3.2 СанПиН 2.3/2.4.3590-20 "Санитарно-эпидемиологические требования к организации общественного питания населения";</w:t>
      </w:r>
    </w:p>
    <w:p>
      <w:pPr>
        <w:pStyle w:val="BodyText"/>
      </w:pPr>
      <w:r>
        <w:t xml:space="preserve">- в зоне раздачи отсутствует маркировка на кухонном инвентаре (щипцы – 1 шт.), что не соответствует ст.10, ст.11, ст.17, ч.1 ст. 28 Федерального Закона от 30.03.99г. № 52-ФЗ «О санитарно-эпидемиологическом благополучии населения»; п.3.2 СанПиН 2.3/2.4.3590-20 "Санитарно-эпидемиологические требования к организации общественного питания населения";</w:t>
      </w:r>
    </w:p>
    <w:p>
      <w:pPr>
        <w:pStyle w:val="BodyText"/>
      </w:pPr>
      <w:r>
        <w:t xml:space="preserve">- в моечном цехе столовой посуды осуществляется хранение личных вещей (кружка – 1 шт.), что не соответствует ст.10, ст.11, ст.17, ч.1 ст. 28 Федерального Закона от 30.03.99г. № 52-ФЗ «О санитарно-эпидемиологическом благополучии населения»; п.2.23 СанПиН 2.3/2.4.3590-20 "Санитарно-эпидемиологические требования к организации общественного питания населения".</w:t>
      </w:r>
    </w:p>
    <w:p>
      <w:pPr>
        <w:pStyle w:val="BodyText"/>
      </w:pPr>
      <w:r>
        <w:t xml:space="preserve">Таким образом, указанные факты являются прямым нарушением санитарно-эпидемиологического законодательства Российской Федерации, что повлекло нарушение прав в том числе несовершеннолетних, реальность, незыблемость и юридическая защищенность которых гарантирована Конституцией Российской Федерации.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возбуждено дело об административном правонарушении по ст. 6.6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http://pechatniki.mos.ru/law-and-order/the-prosecutor-s-office/prokuratura-yugo-vostochnogo-administrativnogo-okruga/detail/12737271.html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737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2025-03-29T22:40:40Z</dcterms:created>
  <dcterms:modified xsi:type="dcterms:W3CDTF">2025-03-29T22:40:40Z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