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f4e33eb314968b1051a7d21d012a8c97aff29"/>
    <w:p>
      <w:pPr>
        <w:pStyle w:val="Heading3"/>
      </w:pPr>
      <w:r>
        <w:t xml:space="preserve">Проведена проверка соблюдения трудового законодательства в деятельности юридического лица зарегистрированного и осуществляющего свою деятельность на территории ЮВАО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соблюдения трудового законодательства в деятельности юридического лица зарегистрированного и осуществляющего свою деятельность на территории ЮВАО.</w:t>
      </w:r>
    </w:p>
    <w:p>
      <w:pPr>
        <w:pStyle w:val="BodyText"/>
      </w:pPr>
      <w:r>
        <w:t xml:space="preserve">В соответствии с ч.3 ст.37 Конституции Российской Федерации, каждый имеет право на труд в условиях, отвечающих требованиям безопасности и гигиены, на вознаграждение за труд без какой бы то ни было дискриминации и не ниже установленного федеральным законом минимального размера оплаты труда, а также право на защиту от безработицы.</w:t>
      </w:r>
    </w:p>
    <w:p>
      <w:pPr>
        <w:pStyle w:val="BodyText"/>
      </w:pPr>
      <w:r>
        <w:t xml:space="preserve">Исходя из положений ст. 8 ТК РФ, работодатели, за исключением работодателей - физических лиц, не являющихся индивидуальными предпринимателями, принимают локальные нормативные акты, содержащие нормы трудового права (далее - локальные нормативные акты), в пределах своей компетенции в соответствии с трудовым законодательством и иными нормативными правовыми актами, содержащими нормы трудового права, коллективными договорами, соглашениями.</w:t>
      </w:r>
    </w:p>
    <w:p>
      <w:pPr>
        <w:pStyle w:val="BodyText"/>
      </w:pPr>
      <w:r>
        <w:t xml:space="preserve">В случаях, предусмотренных настоящим Кодексом, другими федеральными законами и иными нормативными правовыми актами Российской Федерации, коллективным договором, соглашениями, работодатель при принятии локальных нормативных актов учитывает мнение представительного органа работников (при наличии такого представительного органа).</w:t>
      </w:r>
    </w:p>
    <w:p>
      <w:pPr>
        <w:pStyle w:val="BodyText"/>
      </w:pPr>
      <w:r>
        <w:t xml:space="preserve">Нормы локальных нормативных актов, ухудшающие положение работников по сравнению с установленным трудовым законодательством и иными нормативными правовыми актами, содержащими нормы трудового права, коллективным договором, соглашениями, а также локальные нормативные акты, принятые без соблюдения установленного статьей 372 настоящего Кодекса порядка учета мнения представительного органа работников, не подлежат применению. В таких случаях применяются трудовое законодательство и иные нормативные правовые акты, содержащие нормы трудового права, коллективный договор, соглашения.</w:t>
      </w:r>
    </w:p>
    <w:p>
      <w:pPr>
        <w:pStyle w:val="BodyText"/>
      </w:pPr>
      <w:r>
        <w:t xml:space="preserve">В соответствии со ст. 22 Трудового кодекса Российской Федерации (далее - ТК РФ), работодатель обязан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договоров, обеспечить работникам равную оплату за труд равной ценности.</w:t>
      </w:r>
    </w:p>
    <w:p>
      <w:pPr>
        <w:pStyle w:val="BodyText"/>
      </w:pPr>
      <w:r>
        <w:t xml:space="preserve">Установлено, что между организацией и несовершеннолетним лицом заключен трудовой договор от 01.07.2024 (далее – Трудовой договор), согласно которому несовершеннолетний принят на работу в организацию на должность уборщика мусоропровода 1 разряда.</w:t>
      </w:r>
    </w:p>
    <w:p>
      <w:pPr>
        <w:pStyle w:val="BodyText"/>
      </w:pPr>
      <w:r>
        <w:t xml:space="preserve">Согласно положениям ст. 242 ТК РФ, полная материальная ответственность работника состоит в его обязанности возмещать причиненный работодателю прямой действительный ущерб в полном размере.</w:t>
      </w:r>
    </w:p>
    <w:p>
      <w:pPr>
        <w:pStyle w:val="BodyText"/>
      </w:pPr>
      <w:r>
        <w:t xml:space="preserve">Материальная ответственность в полном размере причиненного ущерба может возлагаться на работника лишь в случаях, предусмотренных настоящим Кодексом или иными федеральными законами.</w:t>
      </w:r>
    </w:p>
    <w:p>
      <w:pPr>
        <w:pStyle w:val="BodyText"/>
      </w:pPr>
      <w:r>
        <w:t xml:space="preserve">Работники в возрасте до восемнадцати лет несут полную материальную ответственность лишь за умышленное причинение ущерба, за ущерб, причиненный в состоянии алкогольного, наркотического или иного токсического опьянения, а также за ущерб, причиненный в результате совершения преступления или административного правонарушения.</w:t>
      </w:r>
    </w:p>
    <w:p>
      <w:pPr>
        <w:pStyle w:val="BodyText"/>
      </w:pPr>
      <w:r>
        <w:t xml:space="preserve">Вместе с тем, в нарушение указанной нормы законодательства, в п. 7.2 рассматриваемого трудового договора заключенного с несовершеннолетним указано, что материальная ответственность стороны трудового договора наступает за прямой действительный ущерб, причиненный ею другой стороне трудового договора в результате ее виновного противоправного поведения. Каждая из сторон обязана доказывать сумму причиненного ущерба.</w:t>
      </w:r>
    </w:p>
    <w:p>
      <w:pPr>
        <w:pStyle w:val="BodyText"/>
      </w:pPr>
      <w:r>
        <w:t xml:space="preserve">Согласно п. 3.1.6, а также 4.3 Трудового договора, работодатель вправе привлекать несовершеннолетнего к работе в выходные и нерабочие праздничные дни, а также к сверхурочной работе.</w:t>
      </w:r>
    </w:p>
    <w:p>
      <w:pPr>
        <w:pStyle w:val="BodyText"/>
      </w:pPr>
      <w:r>
        <w:t xml:space="preserve">Вместе с тем, в соответствии с положениями ст. 99 ТК РФ, не допускается привлечение к сверхурочной работе работников в возрасте до восемнадцати лет.</w:t>
      </w:r>
    </w:p>
    <w:p>
      <w:pPr>
        <w:pStyle w:val="BodyText"/>
      </w:pPr>
      <w:r>
        <w:t xml:space="preserve">Также согласно ст. 268 ТК РФ, запрещаются направление в служебные командировки, привлечение к сверхурочной работе, работе в ночное время, в выходные и нерабочие праздничные дни работников в возрасте до восемнадцати лет (за исключением творческих работников средств массовой информации, организаций кинематографии, теле-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произведений, в соответствии с перечнями работ, профессий, должностей этих работников, утверждаемыми Правительством Российской Федерации с учетом мнения Российской трехсторонней комиссии по регулированию социально-трудовых отношений).</w:t>
      </w:r>
    </w:p>
    <w:p>
      <w:pPr>
        <w:pStyle w:val="BodyText"/>
      </w:pPr>
      <w:r>
        <w:t xml:space="preserve">Таким образом, указанные факты являются прямым нарушением трудового законодательства Российской Федерации, что нарушило права несовершеннолетних, реальность, незыблемость и юридическая защищенность которых гарантирована Конституцией Российской Федерации.</w:t>
      </w:r>
    </w:p>
    <w:p>
      <w:pPr>
        <w:pStyle w:val="BodyText"/>
      </w:pPr>
      <w:r>
        <w:t xml:space="preserve">В связи с изложенным, в адрес руководителя юридического лица внесено представление, которые рассмотрено и удовлетворено, допущенные нарушения устранены, а также возбуждено дело об административном правонарушении по ч. 1 ст. 5.27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http://pechatniki.mos.ru/law-and-order/the-prosecutor-s-office/prokuratura-yugo-vostochnogo-administrativnogo-okruga/detail/12737332.html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2025-03-11T16:51:56Z</dcterms:created>
  <dcterms:modified xsi:type="dcterms:W3CDTF">2025-03-11T16:51:56Z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