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e4a2d0938d20bfff41ae7892287bd8bc6cb1"/>
    <w:p>
      <w:pPr>
        <w:pStyle w:val="Heading3"/>
      </w:pPr>
      <w:r>
        <w:t xml:space="preserve">Проведена проверка соблюдения юридическим лицом требований законодательства в сфере санитарно-эпидемиологического благополучия населения, законодательства о противопожарной безопасности, трудового законодательства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юридическим лицом требований законодательства в сфере санитарно-эпидемиологического благополучия населения, законодательства о противопожарной безопасности, трудового законодательства в ходе которой выявлены нарушения, заключающиеся в следующем.</w:t>
      </w:r>
    </w:p>
    <w:p>
      <w:pPr>
        <w:pStyle w:val="BodyText"/>
      </w:pPr>
      <w:r>
        <w:t xml:space="preserve">В соответствии с п. 6 ч. 1 ст. 12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для предотвращения воздействия окружающего табачного дыма и веществ, выделяемых при потреблении никотинсодержащей продукции на здоровье человека запрещается курение табака, потребление никотинсодержащей продукции или использование кальянов (за исключением случаев, установленных частью 2 настоящей статьи): в помещениях, предназначенных для предоставления бытовых услуг, услуг торговли, помещениях рынков, в нестационарных торговых объектах.</w:t>
      </w:r>
    </w:p>
    <w:p>
      <w:pPr>
        <w:pStyle w:val="BodyText"/>
      </w:pPr>
      <w:r>
        <w:t xml:space="preserve">Согласно ст. 11 Федерального закона от 30.03.1999 № 52-ФЗ «О санитарно-эпидемиологическом благополучии населения» (далее – ФЗ № 52), Индивидуальные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 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 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населения.</w:t>
      </w:r>
    </w:p>
    <w:p>
      <w:pPr>
        <w:pStyle w:val="BodyText"/>
      </w:pPr>
      <w:r>
        <w:t xml:space="preserve">Согласно ч. 1 ст. 22 ФЗ № 52, отходы производства и потребления подлежат</w:t>
      </w:r>
    </w:p>
    <w:p>
      <w:pPr>
        <w:pStyle w:val="BodyText"/>
      </w:pPr>
      <w:r>
        <w:t xml:space="preserve">В нарушение вышеуказанных норм закона, а также раздела VI Приложения к порядке проведения обязательных предварительных и периодических медицинских осмотров работников, предусмотренных ч. 4 ст. 213 Трудового кодекса Российской Федерации, утвержденному приказом Министерства здравоохранения Российской Федерации от 28.11.2021 № 29н «Об утверждении Порядка проведения обязательных предварительных и периодических медицинских осмотров работников, предусмотренных ч. 4 ст. 213 ТК РФ,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осмотры, юридическим лицом не размещен знак о запрете курения установленного образца для обозначения территорий, где курение запрещено, а именно, у входа и выхода в организацию, а также при входах в туалетных комнаты для персонала.</w:t>
      </w:r>
    </w:p>
    <w:p>
      <w:pPr>
        <w:pStyle w:val="BodyText"/>
      </w:pPr>
      <w:r>
        <w:t xml:space="preserve">Не проводятся санитарно-противоэпидемические (профилактические) мероприятия, направленные на предупреждение вредного воздействия факторов производственной среды и трудового процесса на здоровье работника, включающие в себя технологические и технические мероприятия, организационные мероприятия, а именно: покрытие пола и стен помещений имеет дефекты, повреждения, следы протеканий, помещения захламлены, что затрудняет проведение текущей уборки с применением моющих и дезинфицирующих средств. Уборочный инвентарь, используемый для уборки помещений, не маркируется в зависимости от в зависимости от назначения помещений и видов работ. Инвентарь для уборки туалетов не имеет иную маркировку и не хранится отдельно от другого инвентаря.</w:t>
      </w:r>
    </w:p>
    <w:p>
      <w:pPr>
        <w:pStyle w:val="BodyText"/>
      </w:pPr>
      <w:r>
        <w:t xml:space="preserve">Не осуществляется производственный контроль за соблюдением санитарных правил и гигиенических нормативов, отсутствуют протоколы и экспертные заключения лабораторных и инструментальных исследований санитарно-противоэпидемических (профилактических) мероприятий с проведением лабораторных исследований и измерений с привлечением испытательных лабораторных центров, аккредитованных в национальной системе аккредитации.</w:t>
      </w:r>
    </w:p>
    <w:p>
      <w:pPr>
        <w:pStyle w:val="BodyText"/>
      </w:pPr>
      <w:r>
        <w:t xml:space="preserve">В помещениях объекта, оказывающего бытовые услуги, не проводится дезинсекция и дератизация.</w:t>
      </w:r>
    </w:p>
    <w:p>
      <w:pPr>
        <w:pStyle w:val="BodyText"/>
      </w:pPr>
      <w:r>
        <w:t xml:space="preserve">Не предоставлены документы, подтверждающие проведение периодического медицинского осмотра, а именно: заключительный акт периодического медицинского осмотра, медицинские книжки сотрудников, работающих в организации, оказывающей бытовые услуги.</w:t>
      </w:r>
    </w:p>
    <w:p>
      <w:pPr>
        <w:pStyle w:val="BodyText"/>
      </w:pPr>
      <w:r>
        <w:t xml:space="preserve">Не представлена информация о проведении вакцинации сотрудников в соответствии с календарем профилактических прививок по эпидемических показателям (Национальный календарь профилактических прививок).</w:t>
      </w:r>
    </w:p>
    <w:p>
      <w:pPr>
        <w:pStyle w:val="BodyText"/>
      </w:pPr>
      <w:r>
        <w:t xml:space="preserve">Отсутствует закрытый склад с герметичными оборотными (сменными) емкостями (контейнеры, бочки, цистерны) для накопления отработанных люминесцентных ламп. Отработанные люминесцентные лампы хранятся в офисном помещении.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2025-03-29T22:09:17Z</dcterms:created>
  <dcterms:modified xsi:type="dcterms:W3CDTF">2025-03-29T22:09:17Z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