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f9ee910c98630cb2d8520d80e8f5ff956151f"/>
    <w:p>
      <w:pPr>
        <w:pStyle w:val="Heading3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фигуранта в совершении преступления, предусмотренного п. «б» ч. 4 ст. 158 УК РФ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фигуранта в совершении преступления, предусмотренного п. «б» ч. 4 ст. 158 УК РФ.</w:t>
      </w:r>
    </w:p>
    <w:p>
      <w:pPr>
        <w:pStyle w:val="BodyText"/>
      </w:pPr>
      <w:r>
        <w:t xml:space="preserve">Установлено, что он совершил хищение денежных средств с незаконным проникновением в жилище, то есть тайное хищение чужого имущества, в особо крупном размере.</w:t>
      </w:r>
    </w:p>
    <w:p>
      <w:pPr>
        <w:pStyle w:val="BodyText"/>
      </w:pPr>
      <w:r>
        <w:t xml:space="preserve">Своими преступными действиями он совместно с другими лицами 26 марта 2022 г. совершили хищение денежных средств, путем незаконного проникновения в жилище, откуда тайно похитили денежные средства на общую сумму 13 000 000 рублей, причинив ущерб в особо крупном размере.</w:t>
      </w:r>
    </w:p>
    <w:p>
      <w:pPr>
        <w:pStyle w:val="BodyText"/>
      </w:pPr>
      <w:r>
        <w:t xml:space="preserve">Причастность к совершению вышеуказанного преступления установлена 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2025-07-14T17:14:48Z</dcterms:created>
  <dcterms:modified xsi:type="dcterms:W3CDTF">2025-07-14T17:14:48Z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