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7c0aec2c2fbc871beb6462d11d2e1279224f3"/>
    <w:p>
      <w:pPr>
        <w:pStyle w:val="Heading3"/>
      </w:pPr>
      <w:r>
        <w:t xml:space="preserve">Индустриальный квартал появится на месте «Южного порта»</w:t>
      </w:r>
    </w:p>
    <w:p>
      <w:pPr>
        <w:pStyle w:val="FirstParagraph"/>
      </w:pPr>
      <w:r>
        <w:t xml:space="preserve">21.02.2022</w:t>
      </w:r>
    </w:p>
    <w:p>
      <w:pPr>
        <w:pStyle w:val="BodyText"/>
      </w:pPr>
      <w:r>
        <w:rPr>
          <w:bCs/>
          <w:b/>
          <w:iCs/>
          <w:i/>
        </w:rPr>
        <w:t xml:space="preserve">В 2022 году на территориях бывших столичных промзон планируется ввести в эксплуатацию около 4 млн кв. м недвижимости. Об этом сообщает пресс-служба столичного комплекса градостроительной политики и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текущем году на территории бывших промзон планируем ввести 90 объектов различного назначения, в том числе социальную инфраструктуру: школы, детские сады, объекты здравоохранения, культуры и спорта. Часть этих объектов построят инвесторы, также они введут на этих территориях около 1,6 млн кв. м жилья, – рассказал заместитель мэра Москвы по вопросам градостроительной политики и строительства Андрей Бочкарев.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также сообщал, что в 2022 году инвесторы построят на бывших промышленных территориях около 15 социальных объектов.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мэр Москвы Сергей Собянин принял решение о расширении площадки особой экономической зоны «Технополис «Москва» в Печатниках. Об этом сообщила пресс-служба мэра и правительства столицы по итогам заседания президиума правительства города. Часть промзоны «Южный порт» включат в состав технополиса.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http://pechatniki.mos.ru/presscenter/news/detail/10636908.html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36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636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2025-04-10T03:47:56Z</dcterms:created>
  <dcterms:modified xsi:type="dcterms:W3CDTF">2025-04-10T03:47:56Z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