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6ca359aed959f774b815f2637236b2b5f6e1d"/>
    <w:p>
      <w:pPr>
        <w:pStyle w:val="Heading3"/>
      </w:pPr>
      <w:r>
        <w:t xml:space="preserve">Запуск дублера Люблинской улицы обеспечит новыми маршрутами район Печатники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rPr>
          <w:iCs/>
          <w:i/>
          <w:bCs/>
          <w:b/>
        </w:rPr>
        <w:t xml:space="preserve">Запуск дублера обеспечит новыми маршрутами районы Марьино, Печатники В Юго-Восточном округе в 2023 году планируется завершить строительство дублера Люблинской улицы, который пройдет через промзону района Люблино. Об этом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Это будет новая вылетная магистраль, которая пройдет от Третьего транспортного кольца до развязки МКАД – Бесединское шоссе, – сказал Андрей Бочкарёв.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Длина трассы составит 15 км и будет включать в себя по три полосы в каждом направлении. Запуск дублера обеспечит новыми маршрутами районы Марьино, Печатники, Люблино, Южнопортовый, разгрузит юго-восточный сектор города и даст импульс для развития промзон «Южный порт» и «Люблино».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http://pechatniki.mos.ru/presscenter/news/detail/10722579.html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22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22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2025-08-04T10:25:48Z</dcterms:created>
  <dcterms:modified xsi:type="dcterms:W3CDTF">2025-08-04T10:25:48Z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