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49f68f68bedfd791de29c73c6dbd7173d3de3"/>
    <w:p>
      <w:pPr>
        <w:pStyle w:val="Heading3"/>
      </w:pPr>
      <w:r>
        <w:t xml:space="preserve">Работы по возведению магистрали от Грайвороновской до Шоссейной выполнены на треть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rPr>
          <w:iCs/>
          <w:i/>
          <w:bCs/>
          <w:b/>
        </w:rPr>
        <w:t xml:space="preserve">Участок скоростной магистрали от Грайвороновской улицы до Шоссейной готов на треть. Об этом сообщил заместитель мэра Москвы Андрей Бочкарев.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Возведены 43 из 44 опор полуторакилометровой эстакады основного хода МСД, которая пройдет над Люблинской улицей, путями МЦД-2, Волгоградским проспектом и улицей Шоссейная, связав Нижегородский район и Печатники, – отметил Бочкарев.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. Всего строители смонтировали уже более десяти тысяч тонн металлических конструкций, что составляет 35%. Работы ведутся на участке длиной 10,4 километра, на нем строится пять эстакад.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http://pechatniki.mos.ru/presscenter/news/detail/10836285.html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36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36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2025-07-01T04:04:34Z</dcterms:created>
  <dcterms:modified xsi:type="dcterms:W3CDTF">2025-07-01T04:04:34Z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