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c77a75e6f79ab8fb4e87b8fbd9efa5508a623"/>
    <w:p>
      <w:pPr>
        <w:pStyle w:val="Heading3"/>
      </w:pPr>
      <w:r>
        <w:t xml:space="preserve">Пересадка со станции «Печатники» БКЛ на салатовую ветку метро готова наполовину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rPr>
          <w:iCs/>
          <w:i/>
          <w:bCs/>
          <w:b/>
        </w:rPr>
        <w:t xml:space="preserve">Между станциями «Печатники» Большой кольцевой линии и Люблинско-Дмитровской линий метро на 40% возвели основные конструкции пересадки. Об этом сообщили в пресс-службе комплекса градостроительной политики и строительства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Транспортный хаб объединит строящуюся станцию «Печатники» БКЛ и действующую станцию Люблинско-Дмитровской линии, а также будущую платформу «Печатники» второго маршрута Московских центральных диаметров и наземный городской транспорт. Пересадку на Люблинско-Дмитровскую линию планируем открыть одновременно со станцией Большого кольца, — рассказал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отметил, что уже завершен монолит лестничного спуска на платформу действующей станции «Печатники». Продолжается устройство пешеходной галереи.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http://pechatniki.mos.ru/presscenter/news/detail/10875106.html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5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5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2025-07-03T23:30:41Z</dcterms:created>
  <dcterms:modified xsi:type="dcterms:W3CDTF">2025-07-03T23:30:41Z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