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7d75bb03cbbe022df514f10fbac058421546f"/>
    <w:p>
      <w:pPr>
        <w:pStyle w:val="Heading3"/>
      </w:pPr>
      <w:r>
        <w:t xml:space="preserve">Для развития территории промзоны «Южный порт» используют несколько участков в Печатниках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rPr>
          <w:iCs/>
          <w:i/>
          <w:bCs/>
          <w:b/>
        </w:rPr>
        <w:t xml:space="preserve">В целях развития территории в промзоне «Южный порт» используют для государственных нужд один земельный участок и два недостроенных здания по адресам: Шоссейный проезд, вл. 30, стр. 1, Шоссейный проезд, д. 30, стр. 1, Проектируемый проезд № 3610. Об этом сообщается 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целях комплексного развития территории нежилой застройки Москвы, расположенной в производственной зоне №26 «Южный порт» (территория №1) изъять для госнужд, у правообладателей объекты недвижимого имущества, — говорится в распоряжении на сайте 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Возмещать стоимость изымаемых объектов и убытков, причиненных изъятием, будут за счет средств акционерного общества «Особая экономическая зона «Зеленоград» в установленном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http://pechatniki.mos.ru/presscenter/news/detail/10961713.html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61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61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2025-08-04T09:45:31Z</dcterms:created>
  <dcterms:modified xsi:type="dcterms:W3CDTF">2025-08-04T09:45:31Z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